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D71C" w14:textId="77777777" w:rsidR="007216BD" w:rsidRPr="002B1B69" w:rsidRDefault="00000000">
      <w:pPr>
        <w:pStyle w:val="Title"/>
        <w:rPr>
          <w:rFonts w:ascii="Calibri" w:hAnsi="Calibri" w:cs="Calibri"/>
          <w:sz w:val="36"/>
          <w:szCs w:val="36"/>
        </w:rPr>
      </w:pPr>
      <w:r w:rsidRPr="002B1B69">
        <w:rPr>
          <w:rFonts w:ascii="Calibri" w:hAnsi="Calibri" w:cs="Calibri"/>
          <w:sz w:val="36"/>
          <w:szCs w:val="36"/>
        </w:rPr>
        <w:t>Resident &amp; Stakeholder Engagement Planning Framework for Procurement, Commissioning and Service Influence</w:t>
      </w:r>
    </w:p>
    <w:p w14:paraId="74429627" w14:textId="77777777" w:rsidR="007216BD" w:rsidRPr="002B1B69" w:rsidRDefault="00000000">
      <w:pPr>
        <w:pStyle w:val="Heading1"/>
        <w:rPr>
          <w:rFonts w:ascii="Calibri" w:hAnsi="Calibri" w:cs="Calibri"/>
        </w:rPr>
      </w:pPr>
      <w:r w:rsidRPr="002B1B69">
        <w:rPr>
          <w:rFonts w:ascii="Calibri" w:hAnsi="Calibri" w:cs="Calibri"/>
        </w:rPr>
        <w:t>1. Engagement Overview</w:t>
      </w:r>
    </w:p>
    <w:p w14:paraId="39874B95" w14:textId="77777777" w:rsidR="007216BD" w:rsidRPr="002B1B69" w:rsidRDefault="00000000">
      <w:pPr>
        <w:pStyle w:val="ListBullet"/>
        <w:rPr>
          <w:rFonts w:cs="Calibri"/>
        </w:rPr>
      </w:pPr>
      <w:r w:rsidRPr="002B1B69">
        <w:rPr>
          <w:rFonts w:cs="Calibri"/>
        </w:rPr>
        <w:t>Engagement Title</w:t>
      </w:r>
    </w:p>
    <w:p w14:paraId="166B5EE2" w14:textId="77777777" w:rsidR="007216BD" w:rsidRPr="002B1B69" w:rsidRDefault="00000000">
      <w:pPr>
        <w:pStyle w:val="ListBullet"/>
        <w:rPr>
          <w:rFonts w:cs="Calibri"/>
        </w:rPr>
      </w:pPr>
      <w:r w:rsidRPr="002B1B69">
        <w:rPr>
          <w:rFonts w:cs="Calibri"/>
        </w:rPr>
        <w:t>Lead Organisation</w:t>
      </w:r>
    </w:p>
    <w:p w14:paraId="3023D015" w14:textId="77777777" w:rsidR="007216BD" w:rsidRPr="002B1B69" w:rsidRDefault="00000000">
      <w:pPr>
        <w:pStyle w:val="ListBullet"/>
        <w:rPr>
          <w:rFonts w:cs="Calibri"/>
        </w:rPr>
      </w:pPr>
      <w:r w:rsidRPr="002B1B69">
        <w:rPr>
          <w:rFonts w:cs="Calibri"/>
        </w:rPr>
        <w:t>Lead Officer</w:t>
      </w:r>
    </w:p>
    <w:p w14:paraId="68F27025" w14:textId="77777777" w:rsidR="007216BD" w:rsidRPr="002B1B69" w:rsidRDefault="00000000">
      <w:pPr>
        <w:pStyle w:val="ListBullet"/>
        <w:rPr>
          <w:rFonts w:cs="Calibri"/>
        </w:rPr>
      </w:pPr>
      <w:r w:rsidRPr="002B1B69">
        <w:rPr>
          <w:rFonts w:cs="Calibri"/>
        </w:rPr>
        <w:t>Supporting Teams</w:t>
      </w:r>
    </w:p>
    <w:p w14:paraId="37C53653" w14:textId="77777777" w:rsidR="007216BD" w:rsidRPr="002B1B69" w:rsidRDefault="00000000">
      <w:pPr>
        <w:pStyle w:val="ListBullet"/>
        <w:rPr>
          <w:rFonts w:cs="Calibri"/>
        </w:rPr>
      </w:pPr>
      <w:r w:rsidRPr="002B1B69">
        <w:rPr>
          <w:rFonts w:cs="Calibri"/>
        </w:rPr>
        <w:t>Procurement Category / Contract Area</w:t>
      </w:r>
    </w:p>
    <w:p w14:paraId="23C1E3CC" w14:textId="77777777" w:rsidR="007216BD" w:rsidRPr="002B1B69" w:rsidRDefault="00000000">
      <w:pPr>
        <w:pStyle w:val="ListBullet"/>
        <w:rPr>
          <w:rFonts w:cs="Calibri"/>
        </w:rPr>
      </w:pPr>
      <w:r w:rsidRPr="002B1B69">
        <w:rPr>
          <w:rFonts w:cs="Calibri"/>
        </w:rPr>
        <w:t>Geographical Area</w:t>
      </w:r>
    </w:p>
    <w:p w14:paraId="604CD430" w14:textId="77777777" w:rsidR="007216BD" w:rsidRPr="002B1B69" w:rsidRDefault="00000000">
      <w:pPr>
        <w:pStyle w:val="ListBullet"/>
        <w:rPr>
          <w:rFonts w:cs="Calibri"/>
        </w:rPr>
      </w:pPr>
      <w:r w:rsidRPr="002B1B69">
        <w:rPr>
          <w:rFonts w:cs="Calibri"/>
        </w:rPr>
        <w:t>Date Engagement Commences</w:t>
      </w:r>
    </w:p>
    <w:p w14:paraId="7E750F6C" w14:textId="77777777" w:rsidR="007216BD" w:rsidRPr="002B1B69" w:rsidRDefault="00000000">
      <w:pPr>
        <w:pStyle w:val="ListBullet"/>
        <w:rPr>
          <w:rFonts w:cs="Calibri"/>
        </w:rPr>
      </w:pPr>
      <w:r w:rsidRPr="002B1B69">
        <w:rPr>
          <w:rFonts w:cs="Calibri"/>
        </w:rPr>
        <w:t>Anticipated Completion Date</w:t>
      </w:r>
    </w:p>
    <w:p w14:paraId="6BDDA834" w14:textId="77777777" w:rsidR="007216BD" w:rsidRPr="002B1B69" w:rsidRDefault="00000000">
      <w:pPr>
        <w:pStyle w:val="ListBullet"/>
        <w:rPr>
          <w:rFonts w:cs="Calibri"/>
        </w:rPr>
      </w:pPr>
      <w:r w:rsidRPr="002B1B69">
        <w:rPr>
          <w:rFonts w:cs="Calibri"/>
        </w:rPr>
        <w:t>Version Control and Review Date</w:t>
      </w:r>
    </w:p>
    <w:p w14:paraId="318ACA67" w14:textId="77777777" w:rsidR="007216BD" w:rsidRPr="002B1B69" w:rsidRDefault="00000000">
      <w:pPr>
        <w:pStyle w:val="Heading1"/>
        <w:rPr>
          <w:rFonts w:ascii="Calibri" w:hAnsi="Calibri" w:cs="Calibri"/>
        </w:rPr>
      </w:pPr>
      <w:r w:rsidRPr="002B1B69">
        <w:rPr>
          <w:rFonts w:ascii="Calibri" w:hAnsi="Calibri" w:cs="Calibri"/>
        </w:rPr>
        <w:t>2. Purpose of Engagement</w:t>
      </w:r>
    </w:p>
    <w:p w14:paraId="3483A078" w14:textId="77777777" w:rsidR="007216BD" w:rsidRPr="002B1B69" w:rsidRDefault="00000000">
      <w:pPr>
        <w:pStyle w:val="ListBullet"/>
        <w:rPr>
          <w:rFonts w:cs="Calibri"/>
        </w:rPr>
      </w:pPr>
      <w:r w:rsidRPr="002B1B69">
        <w:rPr>
          <w:rFonts w:cs="Calibri"/>
        </w:rPr>
        <w:t>Describe why this engagement is taking place.</w:t>
      </w:r>
    </w:p>
    <w:p w14:paraId="38AFE746" w14:textId="77777777" w:rsidR="007216BD" w:rsidRPr="002B1B69" w:rsidRDefault="00000000">
      <w:pPr>
        <w:pStyle w:val="ListBullet"/>
        <w:rPr>
          <w:rFonts w:cs="Calibri"/>
        </w:rPr>
      </w:pPr>
      <w:r w:rsidRPr="002B1B69">
        <w:rPr>
          <w:rFonts w:cs="Calibri"/>
        </w:rPr>
        <w:t>Outline the procurement, commissioning or contract decision being influenced.</w:t>
      </w:r>
    </w:p>
    <w:p w14:paraId="4F482D70" w14:textId="77777777" w:rsidR="007216BD" w:rsidRPr="002B1B69" w:rsidRDefault="00000000">
      <w:pPr>
        <w:pStyle w:val="ListBullet"/>
        <w:rPr>
          <w:rFonts w:cs="Calibri"/>
        </w:rPr>
      </w:pPr>
      <w:r w:rsidRPr="002B1B69">
        <w:rPr>
          <w:rFonts w:cs="Calibri"/>
        </w:rPr>
        <w:t>Explain what residents, customers and stakeholders can genuinely influence.</w:t>
      </w:r>
    </w:p>
    <w:p w14:paraId="1F0406B1" w14:textId="77777777" w:rsidR="007216BD" w:rsidRPr="002B1B69" w:rsidRDefault="00000000">
      <w:pPr>
        <w:pStyle w:val="ListBullet"/>
        <w:rPr>
          <w:rFonts w:cs="Calibri"/>
        </w:rPr>
      </w:pPr>
      <w:r w:rsidRPr="002B1B69">
        <w:rPr>
          <w:rFonts w:cs="Calibri"/>
        </w:rPr>
        <w:t>Clarify non-negotiable regulatory, legal or financial constraints.</w:t>
      </w:r>
    </w:p>
    <w:p w14:paraId="78818871" w14:textId="77777777" w:rsidR="007216BD" w:rsidRPr="002B1B69" w:rsidRDefault="00000000">
      <w:pPr>
        <w:pStyle w:val="ListBullet"/>
        <w:rPr>
          <w:rFonts w:cs="Calibri"/>
        </w:rPr>
      </w:pPr>
      <w:r w:rsidRPr="002B1B69">
        <w:rPr>
          <w:rFonts w:cs="Calibri"/>
        </w:rPr>
        <w:t>Explain how engagement outcomes will be used in decision-making.</w:t>
      </w:r>
    </w:p>
    <w:p w14:paraId="1C5C5695" w14:textId="77777777" w:rsidR="007216BD" w:rsidRPr="002B1B69" w:rsidRDefault="00000000">
      <w:pPr>
        <w:pStyle w:val="Heading1"/>
        <w:rPr>
          <w:rFonts w:ascii="Calibri" w:hAnsi="Calibri" w:cs="Calibri"/>
        </w:rPr>
      </w:pPr>
      <w:r w:rsidRPr="002B1B69">
        <w:rPr>
          <w:rFonts w:ascii="Calibri" w:hAnsi="Calibri" w:cs="Calibri"/>
        </w:rPr>
        <w:t>3. Strategic Drivers</w:t>
      </w:r>
    </w:p>
    <w:p w14:paraId="1D724B74" w14:textId="77777777" w:rsidR="007216BD" w:rsidRPr="002B1B69" w:rsidRDefault="00000000">
      <w:pPr>
        <w:pStyle w:val="ListBullet"/>
        <w:rPr>
          <w:rFonts w:cs="Calibri"/>
        </w:rPr>
      </w:pPr>
      <w:r w:rsidRPr="002B1B69">
        <w:rPr>
          <w:rFonts w:cs="Calibri"/>
        </w:rPr>
        <w:t>Consumer Standards</w:t>
      </w:r>
    </w:p>
    <w:p w14:paraId="44C552E5" w14:textId="77777777" w:rsidR="007216BD" w:rsidRPr="002B1B69" w:rsidRDefault="00000000">
      <w:pPr>
        <w:pStyle w:val="ListBullet"/>
        <w:rPr>
          <w:rFonts w:cs="Calibri"/>
        </w:rPr>
      </w:pPr>
      <w:r w:rsidRPr="002B1B69">
        <w:rPr>
          <w:rFonts w:cs="Calibri"/>
        </w:rPr>
        <w:t>Tenant Satisfaction Measures (TSMs)</w:t>
      </w:r>
    </w:p>
    <w:p w14:paraId="6109E60B" w14:textId="77777777" w:rsidR="007216BD" w:rsidRPr="002B1B69" w:rsidRDefault="00000000">
      <w:pPr>
        <w:pStyle w:val="ListBullet"/>
        <w:rPr>
          <w:rFonts w:cs="Calibri"/>
        </w:rPr>
      </w:pPr>
      <w:r w:rsidRPr="002B1B69">
        <w:rPr>
          <w:rFonts w:cs="Calibri"/>
        </w:rPr>
        <w:t>Transparency, Influence and Accountability Standard</w:t>
      </w:r>
    </w:p>
    <w:p w14:paraId="53CB1F71" w14:textId="77777777" w:rsidR="007216BD" w:rsidRPr="002B1B69" w:rsidRDefault="00000000">
      <w:pPr>
        <w:pStyle w:val="ListBullet"/>
        <w:rPr>
          <w:rFonts w:cs="Calibri"/>
        </w:rPr>
      </w:pPr>
      <w:r w:rsidRPr="002B1B69">
        <w:rPr>
          <w:rFonts w:cs="Calibri"/>
        </w:rPr>
        <w:t>Housing Ombudsman Complaint Handling Code</w:t>
      </w:r>
    </w:p>
    <w:p w14:paraId="32821E06" w14:textId="77777777" w:rsidR="007216BD" w:rsidRPr="002B1B69" w:rsidRDefault="00000000">
      <w:pPr>
        <w:pStyle w:val="ListBullet"/>
        <w:rPr>
          <w:rFonts w:cs="Calibri"/>
        </w:rPr>
      </w:pPr>
      <w:r w:rsidRPr="002B1B69">
        <w:rPr>
          <w:rFonts w:cs="Calibri"/>
        </w:rPr>
        <w:t>Building Safety Act</w:t>
      </w:r>
    </w:p>
    <w:p w14:paraId="44C69C34" w14:textId="77777777" w:rsidR="007216BD" w:rsidRPr="002B1B69" w:rsidRDefault="00000000">
      <w:pPr>
        <w:pStyle w:val="ListBullet"/>
        <w:rPr>
          <w:rFonts w:cs="Calibri"/>
        </w:rPr>
      </w:pPr>
      <w:r w:rsidRPr="002B1B69">
        <w:rPr>
          <w:rFonts w:cs="Calibri"/>
        </w:rPr>
        <w:t>Awaab’s Law</w:t>
      </w:r>
    </w:p>
    <w:p w14:paraId="1263506F" w14:textId="77777777" w:rsidR="007216BD" w:rsidRPr="002B1B69" w:rsidRDefault="00000000">
      <w:pPr>
        <w:pStyle w:val="ListBullet"/>
        <w:rPr>
          <w:rFonts w:cs="Calibri"/>
        </w:rPr>
      </w:pPr>
      <w:r w:rsidRPr="002B1B69">
        <w:rPr>
          <w:rFonts w:cs="Calibri"/>
        </w:rPr>
        <w:t>Social Value Commitments</w:t>
      </w:r>
    </w:p>
    <w:p w14:paraId="07116820" w14:textId="77777777" w:rsidR="007216BD" w:rsidRPr="002B1B69" w:rsidRDefault="00000000">
      <w:pPr>
        <w:pStyle w:val="ListBullet"/>
        <w:rPr>
          <w:rFonts w:cs="Calibri"/>
        </w:rPr>
      </w:pPr>
      <w:r w:rsidRPr="002B1B69">
        <w:rPr>
          <w:rFonts w:cs="Calibri"/>
        </w:rPr>
        <w:t>Equality, Diversity and Inclusion Commitments</w:t>
      </w:r>
    </w:p>
    <w:p w14:paraId="41D45723" w14:textId="77777777" w:rsidR="007216BD" w:rsidRPr="002B1B69" w:rsidRDefault="00000000">
      <w:pPr>
        <w:pStyle w:val="ListBullet"/>
        <w:rPr>
          <w:rFonts w:cs="Calibri"/>
        </w:rPr>
      </w:pPr>
      <w:r w:rsidRPr="002B1B69">
        <w:rPr>
          <w:rFonts w:cs="Calibri"/>
        </w:rPr>
        <w:t>Corporate Plan Objectives</w:t>
      </w:r>
    </w:p>
    <w:p w14:paraId="0A1FA672" w14:textId="77777777" w:rsidR="007216BD" w:rsidRPr="002B1B69" w:rsidRDefault="00000000">
      <w:pPr>
        <w:pStyle w:val="Heading1"/>
        <w:rPr>
          <w:rFonts w:ascii="Calibri" w:hAnsi="Calibri" w:cs="Calibri"/>
        </w:rPr>
      </w:pPr>
      <w:r w:rsidRPr="002B1B69">
        <w:rPr>
          <w:rFonts w:ascii="Calibri" w:hAnsi="Calibri" w:cs="Calibri"/>
        </w:rPr>
        <w:lastRenderedPageBreak/>
        <w:t>4. Engagement Objectives</w:t>
      </w:r>
    </w:p>
    <w:p w14:paraId="7B4116E3" w14:textId="77777777" w:rsidR="007216BD" w:rsidRPr="002B1B69" w:rsidRDefault="00000000">
      <w:pPr>
        <w:pStyle w:val="ListBullet"/>
        <w:rPr>
          <w:rFonts w:cs="Calibri"/>
        </w:rPr>
      </w:pPr>
      <w:r w:rsidRPr="002B1B69">
        <w:rPr>
          <w:rFonts w:cs="Calibri"/>
        </w:rPr>
        <w:t>Improve transparency in procurement activity.</w:t>
      </w:r>
    </w:p>
    <w:p w14:paraId="0B17FA81" w14:textId="77777777" w:rsidR="007216BD" w:rsidRPr="002B1B69" w:rsidRDefault="00000000">
      <w:pPr>
        <w:pStyle w:val="ListBullet"/>
        <w:rPr>
          <w:rFonts w:cs="Calibri"/>
        </w:rPr>
      </w:pPr>
      <w:r w:rsidRPr="002B1B69">
        <w:rPr>
          <w:rFonts w:cs="Calibri"/>
        </w:rPr>
        <w:t>Increase resident confidence in supplier selection.</w:t>
      </w:r>
    </w:p>
    <w:p w14:paraId="31F1D9E4" w14:textId="77777777" w:rsidR="007216BD" w:rsidRPr="002B1B69" w:rsidRDefault="00000000">
      <w:pPr>
        <w:pStyle w:val="ListBullet"/>
        <w:rPr>
          <w:rFonts w:cs="Calibri"/>
        </w:rPr>
      </w:pPr>
      <w:r w:rsidRPr="002B1B69">
        <w:rPr>
          <w:rFonts w:cs="Calibri"/>
        </w:rPr>
        <w:t>Capture lived experience and service insight.</w:t>
      </w:r>
    </w:p>
    <w:p w14:paraId="2640CE0E" w14:textId="77777777" w:rsidR="007216BD" w:rsidRPr="002B1B69" w:rsidRDefault="00000000">
      <w:pPr>
        <w:pStyle w:val="ListBullet"/>
        <w:rPr>
          <w:rFonts w:cs="Calibri"/>
        </w:rPr>
      </w:pPr>
      <w:r w:rsidRPr="002B1B69">
        <w:rPr>
          <w:rFonts w:cs="Calibri"/>
        </w:rPr>
        <w:t>Influence service specifications and KPIs.</w:t>
      </w:r>
    </w:p>
    <w:p w14:paraId="1F2DBAD7" w14:textId="77777777" w:rsidR="007216BD" w:rsidRPr="002B1B69" w:rsidRDefault="00000000">
      <w:pPr>
        <w:pStyle w:val="ListBullet"/>
        <w:rPr>
          <w:rFonts w:cs="Calibri"/>
        </w:rPr>
      </w:pPr>
      <w:r w:rsidRPr="002B1B69">
        <w:rPr>
          <w:rFonts w:cs="Calibri"/>
        </w:rPr>
        <w:t>Improve value for money outcomes.</w:t>
      </w:r>
    </w:p>
    <w:p w14:paraId="38659615" w14:textId="77777777" w:rsidR="007216BD" w:rsidRPr="002B1B69" w:rsidRDefault="00000000">
      <w:pPr>
        <w:pStyle w:val="ListBullet"/>
        <w:rPr>
          <w:rFonts w:cs="Calibri"/>
        </w:rPr>
      </w:pPr>
      <w:r w:rsidRPr="002B1B69">
        <w:rPr>
          <w:rFonts w:cs="Calibri"/>
        </w:rPr>
        <w:t>Strengthen trust and accountability.</w:t>
      </w:r>
    </w:p>
    <w:p w14:paraId="2C3B8483" w14:textId="77777777" w:rsidR="007216BD" w:rsidRPr="002B1B69" w:rsidRDefault="00000000">
      <w:pPr>
        <w:pStyle w:val="ListBullet"/>
        <w:rPr>
          <w:rFonts w:cs="Calibri"/>
        </w:rPr>
      </w:pPr>
      <w:r w:rsidRPr="002B1B69">
        <w:rPr>
          <w:rFonts w:cs="Calibri"/>
        </w:rPr>
        <w:t>Ensure procurement reflects local need and customer priorities.</w:t>
      </w:r>
    </w:p>
    <w:p w14:paraId="02576A1D" w14:textId="77777777" w:rsidR="007216BD" w:rsidRPr="002B1B69" w:rsidRDefault="00000000">
      <w:pPr>
        <w:pStyle w:val="Heading1"/>
        <w:rPr>
          <w:rFonts w:ascii="Calibri" w:hAnsi="Calibri" w:cs="Calibri"/>
        </w:rPr>
      </w:pPr>
      <w:r w:rsidRPr="002B1B69">
        <w:rPr>
          <w:rFonts w:ascii="Calibri" w:hAnsi="Calibri" w:cs="Calibri"/>
        </w:rPr>
        <w:t>5. Stakeholder Mapping</w:t>
      </w:r>
    </w:p>
    <w:p w14:paraId="6E8E89D0" w14:textId="77777777" w:rsidR="007216BD" w:rsidRPr="002B1B69" w:rsidRDefault="00000000">
      <w:pPr>
        <w:pStyle w:val="ListBullet"/>
        <w:rPr>
          <w:rFonts w:cs="Calibri"/>
        </w:rPr>
      </w:pPr>
      <w:r w:rsidRPr="002B1B69">
        <w:rPr>
          <w:rFonts w:cs="Calibri"/>
        </w:rPr>
        <w:t>Residents</w:t>
      </w:r>
    </w:p>
    <w:p w14:paraId="6D49E201" w14:textId="77777777" w:rsidR="007216BD" w:rsidRPr="002B1B69" w:rsidRDefault="00000000">
      <w:pPr>
        <w:pStyle w:val="ListBullet"/>
        <w:rPr>
          <w:rFonts w:cs="Calibri"/>
        </w:rPr>
      </w:pPr>
      <w:r w:rsidRPr="002B1B69">
        <w:rPr>
          <w:rFonts w:cs="Calibri"/>
        </w:rPr>
        <w:t>Leaseholders</w:t>
      </w:r>
    </w:p>
    <w:p w14:paraId="46703148" w14:textId="77777777" w:rsidR="007216BD" w:rsidRPr="002B1B69" w:rsidRDefault="00000000">
      <w:pPr>
        <w:pStyle w:val="ListBullet"/>
        <w:rPr>
          <w:rFonts w:cs="Calibri"/>
        </w:rPr>
      </w:pPr>
      <w:r w:rsidRPr="002B1B69">
        <w:rPr>
          <w:rFonts w:cs="Calibri"/>
        </w:rPr>
        <w:t>Shared Owners</w:t>
      </w:r>
    </w:p>
    <w:p w14:paraId="591F66CE" w14:textId="77777777" w:rsidR="007216BD" w:rsidRPr="002B1B69" w:rsidRDefault="00000000">
      <w:pPr>
        <w:pStyle w:val="ListBullet"/>
        <w:rPr>
          <w:rFonts w:cs="Calibri"/>
        </w:rPr>
      </w:pPr>
      <w:r w:rsidRPr="002B1B69">
        <w:rPr>
          <w:rFonts w:cs="Calibri"/>
        </w:rPr>
        <w:t>Tenant Panels</w:t>
      </w:r>
    </w:p>
    <w:p w14:paraId="24B7C9E6" w14:textId="77777777" w:rsidR="007216BD" w:rsidRPr="002B1B69" w:rsidRDefault="00000000">
      <w:pPr>
        <w:pStyle w:val="ListBullet"/>
        <w:rPr>
          <w:rFonts w:cs="Calibri"/>
        </w:rPr>
      </w:pPr>
      <w:r w:rsidRPr="002B1B69">
        <w:rPr>
          <w:rFonts w:cs="Calibri"/>
        </w:rPr>
        <w:t>Scrutiny Groups</w:t>
      </w:r>
    </w:p>
    <w:p w14:paraId="39C946F6" w14:textId="77777777" w:rsidR="007216BD" w:rsidRPr="002B1B69" w:rsidRDefault="00000000">
      <w:pPr>
        <w:pStyle w:val="ListBullet"/>
        <w:rPr>
          <w:rFonts w:cs="Calibri"/>
        </w:rPr>
      </w:pPr>
      <w:r w:rsidRPr="002B1B69">
        <w:rPr>
          <w:rFonts w:cs="Calibri"/>
        </w:rPr>
        <w:t>Young People</w:t>
      </w:r>
    </w:p>
    <w:p w14:paraId="79B40D00" w14:textId="77777777" w:rsidR="007216BD" w:rsidRPr="002B1B69" w:rsidRDefault="00000000">
      <w:pPr>
        <w:pStyle w:val="ListBullet"/>
        <w:rPr>
          <w:rFonts w:cs="Calibri"/>
        </w:rPr>
      </w:pPr>
      <w:r w:rsidRPr="002B1B69">
        <w:rPr>
          <w:rFonts w:cs="Calibri"/>
        </w:rPr>
        <w:t>Older Persons</w:t>
      </w:r>
    </w:p>
    <w:p w14:paraId="0B63BDB4" w14:textId="77777777" w:rsidR="007216BD" w:rsidRPr="002B1B69" w:rsidRDefault="00000000">
      <w:pPr>
        <w:pStyle w:val="ListBullet"/>
        <w:rPr>
          <w:rFonts w:cs="Calibri"/>
        </w:rPr>
      </w:pPr>
      <w:r w:rsidRPr="002B1B69">
        <w:rPr>
          <w:rFonts w:cs="Calibri"/>
        </w:rPr>
        <w:t>Digitally Excluded Customers</w:t>
      </w:r>
    </w:p>
    <w:p w14:paraId="0C7149E2" w14:textId="77777777" w:rsidR="007216BD" w:rsidRPr="002B1B69" w:rsidRDefault="00000000">
      <w:pPr>
        <w:pStyle w:val="ListBullet"/>
        <w:rPr>
          <w:rFonts w:cs="Calibri"/>
        </w:rPr>
      </w:pPr>
      <w:r w:rsidRPr="002B1B69">
        <w:rPr>
          <w:rFonts w:cs="Calibri"/>
        </w:rPr>
        <w:t>Disabled Residents</w:t>
      </w:r>
    </w:p>
    <w:p w14:paraId="712C0C02" w14:textId="77777777" w:rsidR="007216BD" w:rsidRPr="002B1B69" w:rsidRDefault="00000000">
      <w:pPr>
        <w:pStyle w:val="ListBullet"/>
        <w:rPr>
          <w:rFonts w:cs="Calibri"/>
        </w:rPr>
      </w:pPr>
      <w:r w:rsidRPr="002B1B69">
        <w:rPr>
          <w:rFonts w:cs="Calibri"/>
        </w:rPr>
        <w:t>Community Organisations</w:t>
      </w:r>
    </w:p>
    <w:p w14:paraId="41D5AFAC" w14:textId="77777777" w:rsidR="007216BD" w:rsidRPr="002B1B69" w:rsidRDefault="00000000">
      <w:pPr>
        <w:pStyle w:val="ListBullet"/>
        <w:rPr>
          <w:rFonts w:cs="Calibri"/>
        </w:rPr>
      </w:pPr>
      <w:r w:rsidRPr="002B1B69">
        <w:rPr>
          <w:rFonts w:cs="Calibri"/>
        </w:rPr>
        <w:t>Ward Councillors</w:t>
      </w:r>
    </w:p>
    <w:p w14:paraId="3DC13892" w14:textId="77777777" w:rsidR="007216BD" w:rsidRPr="002B1B69" w:rsidRDefault="00000000">
      <w:pPr>
        <w:pStyle w:val="ListBullet"/>
        <w:rPr>
          <w:rFonts w:cs="Calibri"/>
        </w:rPr>
      </w:pPr>
      <w:r w:rsidRPr="002B1B69">
        <w:rPr>
          <w:rFonts w:cs="Calibri"/>
        </w:rPr>
        <w:t>Staff Teams</w:t>
      </w:r>
    </w:p>
    <w:p w14:paraId="38A3FFC6" w14:textId="77777777" w:rsidR="007216BD" w:rsidRPr="002B1B69" w:rsidRDefault="00000000">
      <w:pPr>
        <w:pStyle w:val="ListBullet"/>
        <w:rPr>
          <w:rFonts w:cs="Calibri"/>
        </w:rPr>
      </w:pPr>
      <w:r w:rsidRPr="002B1B69">
        <w:rPr>
          <w:rFonts w:cs="Calibri"/>
        </w:rPr>
        <w:t>Contractors and Suppliers</w:t>
      </w:r>
    </w:p>
    <w:p w14:paraId="06981464" w14:textId="77777777" w:rsidR="007216BD" w:rsidRPr="002B1B69" w:rsidRDefault="00000000">
      <w:pPr>
        <w:pStyle w:val="Heading1"/>
        <w:rPr>
          <w:rFonts w:ascii="Calibri" w:hAnsi="Calibri" w:cs="Calibri"/>
        </w:rPr>
      </w:pPr>
      <w:r w:rsidRPr="002B1B69">
        <w:rPr>
          <w:rFonts w:ascii="Calibri" w:hAnsi="Calibri" w:cs="Calibri"/>
        </w:rPr>
        <w:t>6. Equality, Diversity and Inclusion Considerations</w:t>
      </w:r>
    </w:p>
    <w:p w14:paraId="1353026B" w14:textId="77777777" w:rsidR="007216BD" w:rsidRPr="002B1B69" w:rsidRDefault="00000000">
      <w:pPr>
        <w:pStyle w:val="ListBullet"/>
        <w:rPr>
          <w:rFonts w:cs="Calibri"/>
        </w:rPr>
      </w:pPr>
      <w:r w:rsidRPr="002B1B69">
        <w:rPr>
          <w:rFonts w:cs="Calibri"/>
        </w:rPr>
        <w:t>Accessibility adjustments required</w:t>
      </w:r>
    </w:p>
    <w:p w14:paraId="72907E49" w14:textId="77777777" w:rsidR="007216BD" w:rsidRPr="002B1B69" w:rsidRDefault="00000000">
      <w:pPr>
        <w:pStyle w:val="ListBullet"/>
        <w:rPr>
          <w:rFonts w:cs="Calibri"/>
        </w:rPr>
      </w:pPr>
      <w:r w:rsidRPr="002B1B69">
        <w:rPr>
          <w:rFonts w:cs="Calibri"/>
        </w:rPr>
        <w:t>Translation requirements</w:t>
      </w:r>
    </w:p>
    <w:p w14:paraId="2C49B84C" w14:textId="77777777" w:rsidR="007216BD" w:rsidRPr="002B1B69" w:rsidRDefault="00000000">
      <w:pPr>
        <w:pStyle w:val="ListBullet"/>
        <w:rPr>
          <w:rFonts w:cs="Calibri"/>
        </w:rPr>
      </w:pPr>
      <w:r w:rsidRPr="002B1B69">
        <w:rPr>
          <w:rFonts w:cs="Calibri"/>
        </w:rPr>
        <w:t>Easy Read versions</w:t>
      </w:r>
    </w:p>
    <w:p w14:paraId="2330062A" w14:textId="77777777" w:rsidR="007216BD" w:rsidRPr="002B1B69" w:rsidRDefault="00000000">
      <w:pPr>
        <w:pStyle w:val="ListBullet"/>
        <w:rPr>
          <w:rFonts w:cs="Calibri"/>
        </w:rPr>
      </w:pPr>
      <w:r w:rsidRPr="002B1B69">
        <w:rPr>
          <w:rFonts w:cs="Calibri"/>
        </w:rPr>
        <w:t>Large print requirements</w:t>
      </w:r>
    </w:p>
    <w:p w14:paraId="046948D6" w14:textId="77777777" w:rsidR="007216BD" w:rsidRPr="002B1B69" w:rsidRDefault="00000000">
      <w:pPr>
        <w:pStyle w:val="ListBullet"/>
        <w:rPr>
          <w:rFonts w:cs="Calibri"/>
        </w:rPr>
      </w:pPr>
      <w:r w:rsidRPr="002B1B69">
        <w:rPr>
          <w:rFonts w:cs="Calibri"/>
        </w:rPr>
        <w:t>BSL or interpretation needs</w:t>
      </w:r>
    </w:p>
    <w:p w14:paraId="561BE978" w14:textId="77777777" w:rsidR="007216BD" w:rsidRPr="002B1B69" w:rsidRDefault="00000000">
      <w:pPr>
        <w:pStyle w:val="ListBullet"/>
        <w:rPr>
          <w:rFonts w:cs="Calibri"/>
        </w:rPr>
      </w:pPr>
      <w:r w:rsidRPr="002B1B69">
        <w:rPr>
          <w:rFonts w:cs="Calibri"/>
        </w:rPr>
        <w:t>Digital inclusion support</w:t>
      </w:r>
    </w:p>
    <w:p w14:paraId="07D8957C" w14:textId="77777777" w:rsidR="007216BD" w:rsidRPr="002B1B69" w:rsidRDefault="00000000">
      <w:pPr>
        <w:pStyle w:val="ListBullet"/>
        <w:rPr>
          <w:rFonts w:cs="Calibri"/>
        </w:rPr>
      </w:pPr>
      <w:r w:rsidRPr="002B1B69">
        <w:rPr>
          <w:rFonts w:cs="Calibri"/>
        </w:rPr>
        <w:t>Transport or venue access considerations</w:t>
      </w:r>
    </w:p>
    <w:p w14:paraId="1AEB7750" w14:textId="77777777" w:rsidR="007216BD" w:rsidRPr="002B1B69" w:rsidRDefault="00000000">
      <w:pPr>
        <w:pStyle w:val="ListBullet"/>
        <w:rPr>
          <w:rFonts w:cs="Calibri"/>
        </w:rPr>
      </w:pPr>
      <w:r w:rsidRPr="002B1B69">
        <w:rPr>
          <w:rFonts w:cs="Calibri"/>
        </w:rPr>
        <w:t>Safeguarding considerations</w:t>
      </w:r>
    </w:p>
    <w:p w14:paraId="566E9781" w14:textId="77777777" w:rsidR="002B1B69" w:rsidRDefault="002B1B69">
      <w:pPr>
        <w:rPr>
          <w:rFonts w:eastAsiaTheme="majorEastAsia" w:cs="Calibri"/>
          <w:b/>
          <w:bCs/>
          <w:color w:val="365F91" w:themeColor="accent1" w:themeShade="BF"/>
          <w:sz w:val="28"/>
          <w:szCs w:val="28"/>
        </w:rPr>
      </w:pPr>
      <w:r>
        <w:rPr>
          <w:rFonts w:cs="Calibri"/>
        </w:rPr>
        <w:br w:type="page"/>
      </w:r>
    </w:p>
    <w:p w14:paraId="564CF38E" w14:textId="67F25332" w:rsidR="007216BD" w:rsidRPr="002B1B69" w:rsidRDefault="00000000">
      <w:pPr>
        <w:pStyle w:val="Heading1"/>
        <w:rPr>
          <w:rFonts w:ascii="Calibri" w:hAnsi="Calibri" w:cs="Calibri"/>
        </w:rPr>
      </w:pPr>
      <w:r w:rsidRPr="002B1B69">
        <w:rPr>
          <w:rFonts w:ascii="Calibri" w:hAnsi="Calibri" w:cs="Calibri"/>
        </w:rPr>
        <w:lastRenderedPageBreak/>
        <w:t>7. Scope of Resident Influence</w:t>
      </w:r>
    </w:p>
    <w:p w14:paraId="612870F7" w14:textId="77777777" w:rsidR="007216BD" w:rsidRPr="002B1B69" w:rsidRDefault="00000000">
      <w:pPr>
        <w:pStyle w:val="ListBullet"/>
        <w:rPr>
          <w:rFonts w:cs="Calibri"/>
        </w:rPr>
      </w:pPr>
      <w:r w:rsidRPr="002B1B69">
        <w:rPr>
          <w:rFonts w:cs="Calibri"/>
        </w:rPr>
        <w:t>Service standards</w:t>
      </w:r>
    </w:p>
    <w:p w14:paraId="6782A086" w14:textId="77777777" w:rsidR="007216BD" w:rsidRPr="002B1B69" w:rsidRDefault="00000000">
      <w:pPr>
        <w:pStyle w:val="ListBullet"/>
        <w:rPr>
          <w:rFonts w:cs="Calibri"/>
        </w:rPr>
      </w:pPr>
      <w:r w:rsidRPr="002B1B69">
        <w:rPr>
          <w:rFonts w:cs="Calibri"/>
        </w:rPr>
        <w:t>Customer experience expectations</w:t>
      </w:r>
    </w:p>
    <w:p w14:paraId="19552AFF" w14:textId="77777777" w:rsidR="007216BD" w:rsidRPr="002B1B69" w:rsidRDefault="00000000">
      <w:pPr>
        <w:pStyle w:val="ListBullet"/>
        <w:rPr>
          <w:rFonts w:cs="Calibri"/>
        </w:rPr>
      </w:pPr>
      <w:r w:rsidRPr="002B1B69">
        <w:rPr>
          <w:rFonts w:cs="Calibri"/>
        </w:rPr>
        <w:t>Supplier behaviours</w:t>
      </w:r>
    </w:p>
    <w:p w14:paraId="735F24D7" w14:textId="77777777" w:rsidR="007216BD" w:rsidRPr="002B1B69" w:rsidRDefault="00000000">
      <w:pPr>
        <w:pStyle w:val="ListBullet"/>
        <w:rPr>
          <w:rFonts w:cs="Calibri"/>
        </w:rPr>
      </w:pPr>
      <w:r w:rsidRPr="002B1B69">
        <w:rPr>
          <w:rFonts w:cs="Calibri"/>
        </w:rPr>
        <w:t>Social value priorities</w:t>
      </w:r>
    </w:p>
    <w:p w14:paraId="241552C1" w14:textId="77777777" w:rsidR="007216BD" w:rsidRPr="002B1B69" w:rsidRDefault="00000000">
      <w:pPr>
        <w:pStyle w:val="ListBullet"/>
        <w:rPr>
          <w:rFonts w:cs="Calibri"/>
        </w:rPr>
      </w:pPr>
      <w:r w:rsidRPr="002B1B69">
        <w:rPr>
          <w:rFonts w:cs="Calibri"/>
        </w:rPr>
        <w:t>Communication standards</w:t>
      </w:r>
    </w:p>
    <w:p w14:paraId="61147953" w14:textId="77777777" w:rsidR="007216BD" w:rsidRPr="002B1B69" w:rsidRDefault="00000000">
      <w:pPr>
        <w:pStyle w:val="ListBullet"/>
        <w:rPr>
          <w:rFonts w:cs="Calibri"/>
        </w:rPr>
      </w:pPr>
      <w:r w:rsidRPr="002B1B69">
        <w:rPr>
          <w:rFonts w:cs="Calibri"/>
        </w:rPr>
        <w:t>Contract monitoring</w:t>
      </w:r>
    </w:p>
    <w:p w14:paraId="697F3C5E" w14:textId="77777777" w:rsidR="007216BD" w:rsidRPr="002B1B69" w:rsidRDefault="00000000">
      <w:pPr>
        <w:pStyle w:val="ListBullet"/>
        <w:rPr>
          <w:rFonts w:cs="Calibri"/>
        </w:rPr>
      </w:pPr>
      <w:r w:rsidRPr="002B1B69">
        <w:rPr>
          <w:rFonts w:cs="Calibri"/>
        </w:rPr>
        <w:t>Performance indicators</w:t>
      </w:r>
    </w:p>
    <w:p w14:paraId="513BCC79" w14:textId="77777777" w:rsidR="007216BD" w:rsidRPr="002B1B69" w:rsidRDefault="00000000">
      <w:pPr>
        <w:pStyle w:val="ListBullet"/>
        <w:rPr>
          <w:rFonts w:cs="Calibri"/>
        </w:rPr>
      </w:pPr>
      <w:r w:rsidRPr="002B1B69">
        <w:rPr>
          <w:rFonts w:cs="Calibri"/>
        </w:rPr>
        <w:t>Evaluation scoring input</w:t>
      </w:r>
    </w:p>
    <w:p w14:paraId="7E200E20" w14:textId="77777777" w:rsidR="007216BD" w:rsidRPr="002B1B69" w:rsidRDefault="00000000">
      <w:pPr>
        <w:pStyle w:val="ListBullet"/>
        <w:rPr>
          <w:rFonts w:cs="Calibri"/>
        </w:rPr>
      </w:pPr>
      <w:r w:rsidRPr="002B1B69">
        <w:rPr>
          <w:rFonts w:cs="Calibri"/>
        </w:rPr>
        <w:t>Resident interview panels</w:t>
      </w:r>
    </w:p>
    <w:p w14:paraId="2ECAEF77" w14:textId="77777777" w:rsidR="007216BD" w:rsidRPr="002B1B69" w:rsidRDefault="00000000">
      <w:pPr>
        <w:pStyle w:val="Heading1"/>
        <w:rPr>
          <w:rFonts w:ascii="Calibri" w:hAnsi="Calibri" w:cs="Calibri"/>
        </w:rPr>
      </w:pPr>
      <w:r w:rsidRPr="002B1B69">
        <w:rPr>
          <w:rFonts w:ascii="Calibri" w:hAnsi="Calibri" w:cs="Calibri"/>
        </w:rPr>
        <w:t>8. Engagement Methods</w:t>
      </w:r>
    </w:p>
    <w:p w14:paraId="3A517C3A" w14:textId="77777777" w:rsidR="007216BD" w:rsidRPr="002B1B69" w:rsidRDefault="00000000">
      <w:pPr>
        <w:pStyle w:val="ListBullet"/>
        <w:rPr>
          <w:rFonts w:cs="Calibri"/>
        </w:rPr>
      </w:pPr>
      <w:r w:rsidRPr="002B1B69">
        <w:rPr>
          <w:rFonts w:cs="Calibri"/>
        </w:rPr>
        <w:t>Face-to-face workshops</w:t>
      </w:r>
    </w:p>
    <w:p w14:paraId="6317884C" w14:textId="77777777" w:rsidR="007216BD" w:rsidRPr="002B1B69" w:rsidRDefault="00000000">
      <w:pPr>
        <w:pStyle w:val="ListBullet"/>
        <w:rPr>
          <w:rFonts w:cs="Calibri"/>
        </w:rPr>
      </w:pPr>
      <w:r w:rsidRPr="002B1B69">
        <w:rPr>
          <w:rFonts w:cs="Calibri"/>
        </w:rPr>
        <w:t>Focus groups</w:t>
      </w:r>
    </w:p>
    <w:p w14:paraId="18D4B38A" w14:textId="77777777" w:rsidR="007216BD" w:rsidRPr="002B1B69" w:rsidRDefault="00000000">
      <w:pPr>
        <w:pStyle w:val="ListBullet"/>
        <w:rPr>
          <w:rFonts w:cs="Calibri"/>
        </w:rPr>
      </w:pPr>
      <w:r w:rsidRPr="002B1B69">
        <w:rPr>
          <w:rFonts w:cs="Calibri"/>
        </w:rPr>
        <w:t>Online meetings</w:t>
      </w:r>
    </w:p>
    <w:p w14:paraId="32F86623" w14:textId="77777777" w:rsidR="007216BD" w:rsidRPr="002B1B69" w:rsidRDefault="00000000">
      <w:pPr>
        <w:pStyle w:val="ListBullet"/>
        <w:rPr>
          <w:rFonts w:cs="Calibri"/>
        </w:rPr>
      </w:pPr>
      <w:r w:rsidRPr="002B1B69">
        <w:rPr>
          <w:rFonts w:cs="Calibri"/>
        </w:rPr>
        <w:t>Telephone engagement</w:t>
      </w:r>
    </w:p>
    <w:p w14:paraId="7E731E9C" w14:textId="77777777" w:rsidR="007216BD" w:rsidRPr="002B1B69" w:rsidRDefault="00000000">
      <w:pPr>
        <w:pStyle w:val="ListBullet"/>
        <w:rPr>
          <w:rFonts w:cs="Calibri"/>
        </w:rPr>
      </w:pPr>
      <w:r w:rsidRPr="002B1B69">
        <w:rPr>
          <w:rFonts w:cs="Calibri"/>
        </w:rPr>
        <w:t>Surveys</w:t>
      </w:r>
    </w:p>
    <w:p w14:paraId="216A34F8" w14:textId="77777777" w:rsidR="007216BD" w:rsidRPr="002B1B69" w:rsidRDefault="00000000">
      <w:pPr>
        <w:pStyle w:val="ListBullet"/>
        <w:rPr>
          <w:rFonts w:cs="Calibri"/>
        </w:rPr>
      </w:pPr>
      <w:r w:rsidRPr="002B1B69">
        <w:rPr>
          <w:rFonts w:cs="Calibri"/>
        </w:rPr>
        <w:t>Estate walkabouts</w:t>
      </w:r>
    </w:p>
    <w:p w14:paraId="027ECFF6" w14:textId="77777777" w:rsidR="007216BD" w:rsidRPr="002B1B69" w:rsidRDefault="00000000">
      <w:pPr>
        <w:pStyle w:val="ListBullet"/>
        <w:rPr>
          <w:rFonts w:cs="Calibri"/>
        </w:rPr>
      </w:pPr>
      <w:r w:rsidRPr="002B1B69">
        <w:rPr>
          <w:rFonts w:cs="Calibri"/>
        </w:rPr>
        <w:t>Interactive engagement sessions</w:t>
      </w:r>
    </w:p>
    <w:p w14:paraId="55FCB6E1" w14:textId="77777777" w:rsidR="007216BD" w:rsidRPr="002B1B69" w:rsidRDefault="00000000">
      <w:pPr>
        <w:pStyle w:val="ListBullet"/>
        <w:rPr>
          <w:rFonts w:cs="Calibri"/>
        </w:rPr>
      </w:pPr>
      <w:r w:rsidRPr="002B1B69">
        <w:rPr>
          <w:rFonts w:cs="Calibri"/>
        </w:rPr>
        <w:t>Procurement evaluation panels</w:t>
      </w:r>
    </w:p>
    <w:p w14:paraId="5B00BD84" w14:textId="77777777" w:rsidR="007216BD" w:rsidRPr="002B1B69" w:rsidRDefault="00000000">
      <w:pPr>
        <w:pStyle w:val="ListBullet"/>
        <w:rPr>
          <w:rFonts w:cs="Calibri"/>
        </w:rPr>
      </w:pPr>
      <w:r w:rsidRPr="002B1B69">
        <w:rPr>
          <w:rFonts w:cs="Calibri"/>
        </w:rPr>
        <w:t>Drop-in events</w:t>
      </w:r>
    </w:p>
    <w:p w14:paraId="46735163" w14:textId="77777777" w:rsidR="007216BD" w:rsidRPr="002B1B69" w:rsidRDefault="00000000">
      <w:pPr>
        <w:pStyle w:val="ListBullet"/>
        <w:rPr>
          <w:rFonts w:cs="Calibri"/>
        </w:rPr>
      </w:pPr>
      <w:r w:rsidRPr="002B1B69">
        <w:rPr>
          <w:rFonts w:cs="Calibri"/>
        </w:rPr>
        <w:t>Co-design workshops</w:t>
      </w:r>
    </w:p>
    <w:p w14:paraId="51061409" w14:textId="77777777" w:rsidR="007216BD" w:rsidRPr="002B1B69" w:rsidRDefault="00000000">
      <w:pPr>
        <w:pStyle w:val="ListBullet"/>
        <w:rPr>
          <w:rFonts w:cs="Calibri"/>
        </w:rPr>
      </w:pPr>
      <w:r w:rsidRPr="002B1B69">
        <w:rPr>
          <w:rFonts w:cs="Calibri"/>
        </w:rPr>
        <w:t>Digital consultation portals</w:t>
      </w:r>
    </w:p>
    <w:p w14:paraId="713B8BA3" w14:textId="77777777" w:rsidR="007216BD" w:rsidRPr="002B1B69" w:rsidRDefault="00000000">
      <w:pPr>
        <w:pStyle w:val="Heading1"/>
        <w:rPr>
          <w:rFonts w:ascii="Calibri" w:hAnsi="Calibri" w:cs="Calibri"/>
        </w:rPr>
      </w:pPr>
      <w:r w:rsidRPr="002B1B69">
        <w:rPr>
          <w:rFonts w:ascii="Calibri" w:hAnsi="Calibri" w:cs="Calibri"/>
        </w:rPr>
        <w:t>9. Engagement Activity Planner</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7216BD" w:rsidRPr="002B1B69" w14:paraId="5E59ABB5" w14:textId="77777777">
        <w:tc>
          <w:tcPr>
            <w:tcW w:w="1440" w:type="dxa"/>
          </w:tcPr>
          <w:p w14:paraId="1468DB69" w14:textId="77777777" w:rsidR="007216BD" w:rsidRPr="002B1B69" w:rsidRDefault="00000000">
            <w:pPr>
              <w:rPr>
                <w:rFonts w:cs="Calibri"/>
              </w:rPr>
            </w:pPr>
            <w:r w:rsidRPr="002B1B69">
              <w:rPr>
                <w:rFonts w:cs="Calibri"/>
              </w:rPr>
              <w:t>Activity</w:t>
            </w:r>
          </w:p>
        </w:tc>
        <w:tc>
          <w:tcPr>
            <w:tcW w:w="1440" w:type="dxa"/>
          </w:tcPr>
          <w:p w14:paraId="15B613E7" w14:textId="77777777" w:rsidR="007216BD" w:rsidRPr="002B1B69" w:rsidRDefault="00000000">
            <w:pPr>
              <w:rPr>
                <w:rFonts w:cs="Calibri"/>
              </w:rPr>
            </w:pPr>
            <w:r w:rsidRPr="002B1B69">
              <w:rPr>
                <w:rFonts w:cs="Calibri"/>
              </w:rPr>
              <w:t>Audience</w:t>
            </w:r>
          </w:p>
        </w:tc>
        <w:tc>
          <w:tcPr>
            <w:tcW w:w="1440" w:type="dxa"/>
          </w:tcPr>
          <w:p w14:paraId="052646B5" w14:textId="77777777" w:rsidR="007216BD" w:rsidRPr="002B1B69" w:rsidRDefault="00000000">
            <w:pPr>
              <w:rPr>
                <w:rFonts w:cs="Calibri"/>
              </w:rPr>
            </w:pPr>
            <w:r w:rsidRPr="002B1B69">
              <w:rPr>
                <w:rFonts w:cs="Calibri"/>
              </w:rPr>
              <w:t>Lead Officer</w:t>
            </w:r>
          </w:p>
        </w:tc>
        <w:tc>
          <w:tcPr>
            <w:tcW w:w="1440" w:type="dxa"/>
          </w:tcPr>
          <w:p w14:paraId="287353AA" w14:textId="77777777" w:rsidR="007216BD" w:rsidRPr="002B1B69" w:rsidRDefault="00000000">
            <w:pPr>
              <w:rPr>
                <w:rFonts w:cs="Calibri"/>
              </w:rPr>
            </w:pPr>
            <w:r w:rsidRPr="002B1B69">
              <w:rPr>
                <w:rFonts w:cs="Calibri"/>
              </w:rPr>
              <w:t>Method</w:t>
            </w:r>
          </w:p>
        </w:tc>
        <w:tc>
          <w:tcPr>
            <w:tcW w:w="1440" w:type="dxa"/>
          </w:tcPr>
          <w:p w14:paraId="6B5D664A" w14:textId="77777777" w:rsidR="007216BD" w:rsidRPr="002B1B69" w:rsidRDefault="00000000">
            <w:pPr>
              <w:rPr>
                <w:rFonts w:cs="Calibri"/>
              </w:rPr>
            </w:pPr>
            <w:r w:rsidRPr="002B1B69">
              <w:rPr>
                <w:rFonts w:cs="Calibri"/>
              </w:rPr>
              <w:t>Date</w:t>
            </w:r>
          </w:p>
        </w:tc>
        <w:tc>
          <w:tcPr>
            <w:tcW w:w="1440" w:type="dxa"/>
          </w:tcPr>
          <w:p w14:paraId="792A144C" w14:textId="77777777" w:rsidR="007216BD" w:rsidRPr="002B1B69" w:rsidRDefault="00000000">
            <w:pPr>
              <w:rPr>
                <w:rFonts w:cs="Calibri"/>
              </w:rPr>
            </w:pPr>
            <w:r w:rsidRPr="002B1B69">
              <w:rPr>
                <w:rFonts w:cs="Calibri"/>
              </w:rPr>
              <w:t>Outcome / Evidence</w:t>
            </w:r>
          </w:p>
        </w:tc>
      </w:tr>
      <w:tr w:rsidR="007216BD" w:rsidRPr="002B1B69" w14:paraId="345AE17F" w14:textId="77777777">
        <w:tc>
          <w:tcPr>
            <w:tcW w:w="1440" w:type="dxa"/>
          </w:tcPr>
          <w:p w14:paraId="311D2196" w14:textId="77777777" w:rsidR="007216BD" w:rsidRPr="002B1B69" w:rsidRDefault="007216BD">
            <w:pPr>
              <w:rPr>
                <w:rFonts w:cs="Calibri"/>
              </w:rPr>
            </w:pPr>
          </w:p>
        </w:tc>
        <w:tc>
          <w:tcPr>
            <w:tcW w:w="1440" w:type="dxa"/>
          </w:tcPr>
          <w:p w14:paraId="459E415F" w14:textId="77777777" w:rsidR="007216BD" w:rsidRPr="002B1B69" w:rsidRDefault="007216BD">
            <w:pPr>
              <w:rPr>
                <w:rFonts w:cs="Calibri"/>
              </w:rPr>
            </w:pPr>
          </w:p>
        </w:tc>
        <w:tc>
          <w:tcPr>
            <w:tcW w:w="1440" w:type="dxa"/>
          </w:tcPr>
          <w:p w14:paraId="633EB718" w14:textId="77777777" w:rsidR="007216BD" w:rsidRPr="002B1B69" w:rsidRDefault="007216BD">
            <w:pPr>
              <w:rPr>
                <w:rFonts w:cs="Calibri"/>
              </w:rPr>
            </w:pPr>
          </w:p>
        </w:tc>
        <w:tc>
          <w:tcPr>
            <w:tcW w:w="1440" w:type="dxa"/>
          </w:tcPr>
          <w:p w14:paraId="78030EE6" w14:textId="77777777" w:rsidR="007216BD" w:rsidRPr="002B1B69" w:rsidRDefault="007216BD">
            <w:pPr>
              <w:rPr>
                <w:rFonts w:cs="Calibri"/>
              </w:rPr>
            </w:pPr>
          </w:p>
        </w:tc>
        <w:tc>
          <w:tcPr>
            <w:tcW w:w="1440" w:type="dxa"/>
          </w:tcPr>
          <w:p w14:paraId="285F7F13" w14:textId="77777777" w:rsidR="007216BD" w:rsidRPr="002B1B69" w:rsidRDefault="007216BD">
            <w:pPr>
              <w:rPr>
                <w:rFonts w:cs="Calibri"/>
              </w:rPr>
            </w:pPr>
          </w:p>
        </w:tc>
        <w:tc>
          <w:tcPr>
            <w:tcW w:w="1440" w:type="dxa"/>
          </w:tcPr>
          <w:p w14:paraId="729AB692" w14:textId="77777777" w:rsidR="007216BD" w:rsidRPr="002B1B69" w:rsidRDefault="007216BD">
            <w:pPr>
              <w:rPr>
                <w:rFonts w:cs="Calibri"/>
              </w:rPr>
            </w:pPr>
          </w:p>
        </w:tc>
      </w:tr>
      <w:tr w:rsidR="007216BD" w:rsidRPr="002B1B69" w14:paraId="5FDC1505" w14:textId="77777777">
        <w:tc>
          <w:tcPr>
            <w:tcW w:w="1440" w:type="dxa"/>
          </w:tcPr>
          <w:p w14:paraId="1D89928A" w14:textId="77777777" w:rsidR="007216BD" w:rsidRPr="002B1B69" w:rsidRDefault="007216BD">
            <w:pPr>
              <w:rPr>
                <w:rFonts w:cs="Calibri"/>
              </w:rPr>
            </w:pPr>
          </w:p>
        </w:tc>
        <w:tc>
          <w:tcPr>
            <w:tcW w:w="1440" w:type="dxa"/>
          </w:tcPr>
          <w:p w14:paraId="41C783F6" w14:textId="77777777" w:rsidR="007216BD" w:rsidRPr="002B1B69" w:rsidRDefault="007216BD">
            <w:pPr>
              <w:rPr>
                <w:rFonts w:cs="Calibri"/>
              </w:rPr>
            </w:pPr>
          </w:p>
        </w:tc>
        <w:tc>
          <w:tcPr>
            <w:tcW w:w="1440" w:type="dxa"/>
          </w:tcPr>
          <w:p w14:paraId="1E1E4751" w14:textId="77777777" w:rsidR="007216BD" w:rsidRPr="002B1B69" w:rsidRDefault="007216BD">
            <w:pPr>
              <w:rPr>
                <w:rFonts w:cs="Calibri"/>
              </w:rPr>
            </w:pPr>
          </w:p>
        </w:tc>
        <w:tc>
          <w:tcPr>
            <w:tcW w:w="1440" w:type="dxa"/>
          </w:tcPr>
          <w:p w14:paraId="0AA2A4D4" w14:textId="77777777" w:rsidR="007216BD" w:rsidRPr="002B1B69" w:rsidRDefault="007216BD">
            <w:pPr>
              <w:rPr>
                <w:rFonts w:cs="Calibri"/>
              </w:rPr>
            </w:pPr>
          </w:p>
        </w:tc>
        <w:tc>
          <w:tcPr>
            <w:tcW w:w="1440" w:type="dxa"/>
          </w:tcPr>
          <w:p w14:paraId="1C9A078C" w14:textId="77777777" w:rsidR="007216BD" w:rsidRPr="002B1B69" w:rsidRDefault="007216BD">
            <w:pPr>
              <w:rPr>
                <w:rFonts w:cs="Calibri"/>
              </w:rPr>
            </w:pPr>
          </w:p>
        </w:tc>
        <w:tc>
          <w:tcPr>
            <w:tcW w:w="1440" w:type="dxa"/>
          </w:tcPr>
          <w:p w14:paraId="5C2057FB" w14:textId="77777777" w:rsidR="007216BD" w:rsidRPr="002B1B69" w:rsidRDefault="007216BD">
            <w:pPr>
              <w:rPr>
                <w:rFonts w:cs="Calibri"/>
              </w:rPr>
            </w:pPr>
          </w:p>
        </w:tc>
      </w:tr>
      <w:tr w:rsidR="007216BD" w:rsidRPr="002B1B69" w14:paraId="540086D2" w14:textId="77777777">
        <w:tc>
          <w:tcPr>
            <w:tcW w:w="1440" w:type="dxa"/>
          </w:tcPr>
          <w:p w14:paraId="191F3CAE" w14:textId="77777777" w:rsidR="007216BD" w:rsidRPr="002B1B69" w:rsidRDefault="007216BD">
            <w:pPr>
              <w:rPr>
                <w:rFonts w:cs="Calibri"/>
              </w:rPr>
            </w:pPr>
          </w:p>
        </w:tc>
        <w:tc>
          <w:tcPr>
            <w:tcW w:w="1440" w:type="dxa"/>
          </w:tcPr>
          <w:p w14:paraId="5E67AD36" w14:textId="77777777" w:rsidR="007216BD" w:rsidRPr="002B1B69" w:rsidRDefault="007216BD">
            <w:pPr>
              <w:rPr>
                <w:rFonts w:cs="Calibri"/>
              </w:rPr>
            </w:pPr>
          </w:p>
        </w:tc>
        <w:tc>
          <w:tcPr>
            <w:tcW w:w="1440" w:type="dxa"/>
          </w:tcPr>
          <w:p w14:paraId="4A6CCDD4" w14:textId="77777777" w:rsidR="007216BD" w:rsidRPr="002B1B69" w:rsidRDefault="007216BD">
            <w:pPr>
              <w:rPr>
                <w:rFonts w:cs="Calibri"/>
              </w:rPr>
            </w:pPr>
          </w:p>
        </w:tc>
        <w:tc>
          <w:tcPr>
            <w:tcW w:w="1440" w:type="dxa"/>
          </w:tcPr>
          <w:p w14:paraId="4B21165B" w14:textId="77777777" w:rsidR="007216BD" w:rsidRPr="002B1B69" w:rsidRDefault="007216BD">
            <w:pPr>
              <w:rPr>
                <w:rFonts w:cs="Calibri"/>
              </w:rPr>
            </w:pPr>
          </w:p>
        </w:tc>
        <w:tc>
          <w:tcPr>
            <w:tcW w:w="1440" w:type="dxa"/>
          </w:tcPr>
          <w:p w14:paraId="4F6380D1" w14:textId="77777777" w:rsidR="007216BD" w:rsidRPr="002B1B69" w:rsidRDefault="007216BD">
            <w:pPr>
              <w:rPr>
                <w:rFonts w:cs="Calibri"/>
              </w:rPr>
            </w:pPr>
          </w:p>
        </w:tc>
        <w:tc>
          <w:tcPr>
            <w:tcW w:w="1440" w:type="dxa"/>
          </w:tcPr>
          <w:p w14:paraId="3751B103" w14:textId="77777777" w:rsidR="007216BD" w:rsidRPr="002B1B69" w:rsidRDefault="007216BD">
            <w:pPr>
              <w:rPr>
                <w:rFonts w:cs="Calibri"/>
              </w:rPr>
            </w:pPr>
          </w:p>
        </w:tc>
      </w:tr>
      <w:tr w:rsidR="007216BD" w:rsidRPr="002B1B69" w14:paraId="3DE0008A" w14:textId="77777777">
        <w:tc>
          <w:tcPr>
            <w:tcW w:w="1440" w:type="dxa"/>
          </w:tcPr>
          <w:p w14:paraId="3341121D" w14:textId="77777777" w:rsidR="007216BD" w:rsidRPr="002B1B69" w:rsidRDefault="007216BD">
            <w:pPr>
              <w:rPr>
                <w:rFonts w:cs="Calibri"/>
              </w:rPr>
            </w:pPr>
          </w:p>
        </w:tc>
        <w:tc>
          <w:tcPr>
            <w:tcW w:w="1440" w:type="dxa"/>
          </w:tcPr>
          <w:p w14:paraId="6260A49F" w14:textId="77777777" w:rsidR="007216BD" w:rsidRPr="002B1B69" w:rsidRDefault="007216BD">
            <w:pPr>
              <w:rPr>
                <w:rFonts w:cs="Calibri"/>
              </w:rPr>
            </w:pPr>
          </w:p>
        </w:tc>
        <w:tc>
          <w:tcPr>
            <w:tcW w:w="1440" w:type="dxa"/>
          </w:tcPr>
          <w:p w14:paraId="3098498B" w14:textId="77777777" w:rsidR="007216BD" w:rsidRPr="002B1B69" w:rsidRDefault="007216BD">
            <w:pPr>
              <w:rPr>
                <w:rFonts w:cs="Calibri"/>
              </w:rPr>
            </w:pPr>
          </w:p>
        </w:tc>
        <w:tc>
          <w:tcPr>
            <w:tcW w:w="1440" w:type="dxa"/>
          </w:tcPr>
          <w:p w14:paraId="5D4A34E8" w14:textId="77777777" w:rsidR="007216BD" w:rsidRPr="002B1B69" w:rsidRDefault="007216BD">
            <w:pPr>
              <w:rPr>
                <w:rFonts w:cs="Calibri"/>
              </w:rPr>
            </w:pPr>
          </w:p>
        </w:tc>
        <w:tc>
          <w:tcPr>
            <w:tcW w:w="1440" w:type="dxa"/>
          </w:tcPr>
          <w:p w14:paraId="02DC9934" w14:textId="77777777" w:rsidR="007216BD" w:rsidRPr="002B1B69" w:rsidRDefault="007216BD">
            <w:pPr>
              <w:rPr>
                <w:rFonts w:cs="Calibri"/>
              </w:rPr>
            </w:pPr>
          </w:p>
        </w:tc>
        <w:tc>
          <w:tcPr>
            <w:tcW w:w="1440" w:type="dxa"/>
          </w:tcPr>
          <w:p w14:paraId="63EE0919" w14:textId="77777777" w:rsidR="007216BD" w:rsidRPr="002B1B69" w:rsidRDefault="007216BD">
            <w:pPr>
              <w:rPr>
                <w:rFonts w:cs="Calibri"/>
              </w:rPr>
            </w:pPr>
          </w:p>
        </w:tc>
      </w:tr>
      <w:tr w:rsidR="007216BD" w:rsidRPr="002B1B69" w14:paraId="54F89787" w14:textId="77777777">
        <w:tc>
          <w:tcPr>
            <w:tcW w:w="1440" w:type="dxa"/>
          </w:tcPr>
          <w:p w14:paraId="558193A9" w14:textId="77777777" w:rsidR="007216BD" w:rsidRPr="002B1B69" w:rsidRDefault="007216BD">
            <w:pPr>
              <w:rPr>
                <w:rFonts w:cs="Calibri"/>
              </w:rPr>
            </w:pPr>
          </w:p>
        </w:tc>
        <w:tc>
          <w:tcPr>
            <w:tcW w:w="1440" w:type="dxa"/>
          </w:tcPr>
          <w:p w14:paraId="670A98F4" w14:textId="77777777" w:rsidR="007216BD" w:rsidRPr="002B1B69" w:rsidRDefault="007216BD">
            <w:pPr>
              <w:rPr>
                <w:rFonts w:cs="Calibri"/>
              </w:rPr>
            </w:pPr>
          </w:p>
        </w:tc>
        <w:tc>
          <w:tcPr>
            <w:tcW w:w="1440" w:type="dxa"/>
          </w:tcPr>
          <w:p w14:paraId="1C9AAB53" w14:textId="77777777" w:rsidR="007216BD" w:rsidRPr="002B1B69" w:rsidRDefault="007216BD">
            <w:pPr>
              <w:rPr>
                <w:rFonts w:cs="Calibri"/>
              </w:rPr>
            </w:pPr>
          </w:p>
        </w:tc>
        <w:tc>
          <w:tcPr>
            <w:tcW w:w="1440" w:type="dxa"/>
          </w:tcPr>
          <w:p w14:paraId="74AB4B18" w14:textId="77777777" w:rsidR="007216BD" w:rsidRPr="002B1B69" w:rsidRDefault="007216BD">
            <w:pPr>
              <w:rPr>
                <w:rFonts w:cs="Calibri"/>
              </w:rPr>
            </w:pPr>
          </w:p>
        </w:tc>
        <w:tc>
          <w:tcPr>
            <w:tcW w:w="1440" w:type="dxa"/>
          </w:tcPr>
          <w:p w14:paraId="6A6CBD8B" w14:textId="77777777" w:rsidR="007216BD" w:rsidRPr="002B1B69" w:rsidRDefault="007216BD">
            <w:pPr>
              <w:rPr>
                <w:rFonts w:cs="Calibri"/>
              </w:rPr>
            </w:pPr>
          </w:p>
        </w:tc>
        <w:tc>
          <w:tcPr>
            <w:tcW w:w="1440" w:type="dxa"/>
          </w:tcPr>
          <w:p w14:paraId="68B07800" w14:textId="77777777" w:rsidR="007216BD" w:rsidRPr="002B1B69" w:rsidRDefault="007216BD">
            <w:pPr>
              <w:rPr>
                <w:rFonts w:cs="Calibri"/>
              </w:rPr>
            </w:pPr>
          </w:p>
        </w:tc>
      </w:tr>
      <w:tr w:rsidR="007216BD" w:rsidRPr="002B1B69" w14:paraId="53BFA15D" w14:textId="77777777">
        <w:tc>
          <w:tcPr>
            <w:tcW w:w="1440" w:type="dxa"/>
          </w:tcPr>
          <w:p w14:paraId="5FD9F5BA" w14:textId="77777777" w:rsidR="007216BD" w:rsidRPr="002B1B69" w:rsidRDefault="007216BD">
            <w:pPr>
              <w:rPr>
                <w:rFonts w:cs="Calibri"/>
              </w:rPr>
            </w:pPr>
          </w:p>
        </w:tc>
        <w:tc>
          <w:tcPr>
            <w:tcW w:w="1440" w:type="dxa"/>
          </w:tcPr>
          <w:p w14:paraId="47B4B8B0" w14:textId="77777777" w:rsidR="007216BD" w:rsidRPr="002B1B69" w:rsidRDefault="007216BD">
            <w:pPr>
              <w:rPr>
                <w:rFonts w:cs="Calibri"/>
              </w:rPr>
            </w:pPr>
          </w:p>
        </w:tc>
        <w:tc>
          <w:tcPr>
            <w:tcW w:w="1440" w:type="dxa"/>
          </w:tcPr>
          <w:p w14:paraId="7B1E02CA" w14:textId="77777777" w:rsidR="007216BD" w:rsidRPr="002B1B69" w:rsidRDefault="007216BD">
            <w:pPr>
              <w:rPr>
                <w:rFonts w:cs="Calibri"/>
              </w:rPr>
            </w:pPr>
          </w:p>
        </w:tc>
        <w:tc>
          <w:tcPr>
            <w:tcW w:w="1440" w:type="dxa"/>
          </w:tcPr>
          <w:p w14:paraId="495DEAD4" w14:textId="77777777" w:rsidR="007216BD" w:rsidRPr="002B1B69" w:rsidRDefault="007216BD">
            <w:pPr>
              <w:rPr>
                <w:rFonts w:cs="Calibri"/>
              </w:rPr>
            </w:pPr>
          </w:p>
        </w:tc>
        <w:tc>
          <w:tcPr>
            <w:tcW w:w="1440" w:type="dxa"/>
          </w:tcPr>
          <w:p w14:paraId="3306B2FD" w14:textId="77777777" w:rsidR="007216BD" w:rsidRPr="002B1B69" w:rsidRDefault="007216BD">
            <w:pPr>
              <w:rPr>
                <w:rFonts w:cs="Calibri"/>
              </w:rPr>
            </w:pPr>
          </w:p>
        </w:tc>
        <w:tc>
          <w:tcPr>
            <w:tcW w:w="1440" w:type="dxa"/>
          </w:tcPr>
          <w:p w14:paraId="230D63F0" w14:textId="77777777" w:rsidR="007216BD" w:rsidRPr="002B1B69" w:rsidRDefault="007216BD">
            <w:pPr>
              <w:rPr>
                <w:rFonts w:cs="Calibri"/>
              </w:rPr>
            </w:pPr>
          </w:p>
        </w:tc>
      </w:tr>
      <w:tr w:rsidR="007216BD" w:rsidRPr="002B1B69" w14:paraId="44F0E9F9" w14:textId="77777777">
        <w:tc>
          <w:tcPr>
            <w:tcW w:w="1440" w:type="dxa"/>
          </w:tcPr>
          <w:p w14:paraId="799E48F2" w14:textId="77777777" w:rsidR="007216BD" w:rsidRPr="002B1B69" w:rsidRDefault="007216BD">
            <w:pPr>
              <w:rPr>
                <w:rFonts w:cs="Calibri"/>
              </w:rPr>
            </w:pPr>
          </w:p>
        </w:tc>
        <w:tc>
          <w:tcPr>
            <w:tcW w:w="1440" w:type="dxa"/>
          </w:tcPr>
          <w:p w14:paraId="486155CA" w14:textId="77777777" w:rsidR="007216BD" w:rsidRPr="002B1B69" w:rsidRDefault="007216BD">
            <w:pPr>
              <w:rPr>
                <w:rFonts w:cs="Calibri"/>
              </w:rPr>
            </w:pPr>
          </w:p>
        </w:tc>
        <w:tc>
          <w:tcPr>
            <w:tcW w:w="1440" w:type="dxa"/>
          </w:tcPr>
          <w:p w14:paraId="5924F32F" w14:textId="77777777" w:rsidR="007216BD" w:rsidRPr="002B1B69" w:rsidRDefault="007216BD">
            <w:pPr>
              <w:rPr>
                <w:rFonts w:cs="Calibri"/>
              </w:rPr>
            </w:pPr>
          </w:p>
        </w:tc>
        <w:tc>
          <w:tcPr>
            <w:tcW w:w="1440" w:type="dxa"/>
          </w:tcPr>
          <w:p w14:paraId="799232E1" w14:textId="77777777" w:rsidR="007216BD" w:rsidRPr="002B1B69" w:rsidRDefault="007216BD">
            <w:pPr>
              <w:rPr>
                <w:rFonts w:cs="Calibri"/>
              </w:rPr>
            </w:pPr>
          </w:p>
        </w:tc>
        <w:tc>
          <w:tcPr>
            <w:tcW w:w="1440" w:type="dxa"/>
          </w:tcPr>
          <w:p w14:paraId="78B6D5A6" w14:textId="77777777" w:rsidR="007216BD" w:rsidRPr="002B1B69" w:rsidRDefault="007216BD">
            <w:pPr>
              <w:rPr>
                <w:rFonts w:cs="Calibri"/>
              </w:rPr>
            </w:pPr>
          </w:p>
        </w:tc>
        <w:tc>
          <w:tcPr>
            <w:tcW w:w="1440" w:type="dxa"/>
          </w:tcPr>
          <w:p w14:paraId="192F4182" w14:textId="77777777" w:rsidR="007216BD" w:rsidRPr="002B1B69" w:rsidRDefault="007216BD">
            <w:pPr>
              <w:rPr>
                <w:rFonts w:cs="Calibri"/>
              </w:rPr>
            </w:pPr>
          </w:p>
        </w:tc>
      </w:tr>
      <w:tr w:rsidR="007216BD" w:rsidRPr="002B1B69" w14:paraId="734A542D" w14:textId="77777777">
        <w:tc>
          <w:tcPr>
            <w:tcW w:w="1440" w:type="dxa"/>
          </w:tcPr>
          <w:p w14:paraId="694CD5D0" w14:textId="77777777" w:rsidR="007216BD" w:rsidRPr="002B1B69" w:rsidRDefault="007216BD">
            <w:pPr>
              <w:rPr>
                <w:rFonts w:cs="Calibri"/>
              </w:rPr>
            </w:pPr>
          </w:p>
        </w:tc>
        <w:tc>
          <w:tcPr>
            <w:tcW w:w="1440" w:type="dxa"/>
          </w:tcPr>
          <w:p w14:paraId="43B37D08" w14:textId="77777777" w:rsidR="007216BD" w:rsidRPr="002B1B69" w:rsidRDefault="007216BD">
            <w:pPr>
              <w:rPr>
                <w:rFonts w:cs="Calibri"/>
              </w:rPr>
            </w:pPr>
          </w:p>
        </w:tc>
        <w:tc>
          <w:tcPr>
            <w:tcW w:w="1440" w:type="dxa"/>
          </w:tcPr>
          <w:p w14:paraId="57D06808" w14:textId="77777777" w:rsidR="007216BD" w:rsidRPr="002B1B69" w:rsidRDefault="007216BD">
            <w:pPr>
              <w:rPr>
                <w:rFonts w:cs="Calibri"/>
              </w:rPr>
            </w:pPr>
          </w:p>
        </w:tc>
        <w:tc>
          <w:tcPr>
            <w:tcW w:w="1440" w:type="dxa"/>
          </w:tcPr>
          <w:p w14:paraId="7133E9B9" w14:textId="77777777" w:rsidR="007216BD" w:rsidRPr="002B1B69" w:rsidRDefault="007216BD">
            <w:pPr>
              <w:rPr>
                <w:rFonts w:cs="Calibri"/>
              </w:rPr>
            </w:pPr>
          </w:p>
        </w:tc>
        <w:tc>
          <w:tcPr>
            <w:tcW w:w="1440" w:type="dxa"/>
          </w:tcPr>
          <w:p w14:paraId="6F9A50D8" w14:textId="77777777" w:rsidR="007216BD" w:rsidRPr="002B1B69" w:rsidRDefault="007216BD">
            <w:pPr>
              <w:rPr>
                <w:rFonts w:cs="Calibri"/>
              </w:rPr>
            </w:pPr>
          </w:p>
        </w:tc>
        <w:tc>
          <w:tcPr>
            <w:tcW w:w="1440" w:type="dxa"/>
          </w:tcPr>
          <w:p w14:paraId="0E1C6B3A" w14:textId="77777777" w:rsidR="007216BD" w:rsidRPr="002B1B69" w:rsidRDefault="007216BD">
            <w:pPr>
              <w:rPr>
                <w:rFonts w:cs="Calibri"/>
              </w:rPr>
            </w:pPr>
          </w:p>
        </w:tc>
      </w:tr>
    </w:tbl>
    <w:p w14:paraId="058C46D3" w14:textId="77777777" w:rsidR="007216BD" w:rsidRPr="002B1B69" w:rsidRDefault="00000000">
      <w:pPr>
        <w:pStyle w:val="Heading1"/>
        <w:rPr>
          <w:rFonts w:ascii="Calibri" w:hAnsi="Calibri" w:cs="Calibri"/>
        </w:rPr>
      </w:pPr>
      <w:r w:rsidRPr="002B1B69">
        <w:rPr>
          <w:rFonts w:ascii="Calibri" w:hAnsi="Calibri" w:cs="Calibri"/>
        </w:rPr>
        <w:lastRenderedPageBreak/>
        <w:t>10. Communications and Promotion Plan</w:t>
      </w:r>
    </w:p>
    <w:p w14:paraId="7185C585" w14:textId="77777777" w:rsidR="007216BD" w:rsidRPr="002B1B69" w:rsidRDefault="00000000">
      <w:pPr>
        <w:pStyle w:val="ListBullet"/>
        <w:rPr>
          <w:rFonts w:cs="Calibri"/>
        </w:rPr>
      </w:pPr>
      <w:r w:rsidRPr="002B1B69">
        <w:rPr>
          <w:rFonts w:cs="Calibri"/>
        </w:rPr>
        <w:t>Resident newsletters</w:t>
      </w:r>
    </w:p>
    <w:p w14:paraId="33F77A5A" w14:textId="77777777" w:rsidR="007216BD" w:rsidRPr="002B1B69" w:rsidRDefault="00000000">
      <w:pPr>
        <w:pStyle w:val="ListBullet"/>
        <w:rPr>
          <w:rFonts w:cs="Calibri"/>
        </w:rPr>
      </w:pPr>
      <w:r w:rsidRPr="002B1B69">
        <w:rPr>
          <w:rFonts w:cs="Calibri"/>
        </w:rPr>
        <w:t>SMS messages</w:t>
      </w:r>
    </w:p>
    <w:p w14:paraId="381D8BEA" w14:textId="77777777" w:rsidR="007216BD" w:rsidRPr="002B1B69" w:rsidRDefault="00000000">
      <w:pPr>
        <w:pStyle w:val="ListBullet"/>
        <w:rPr>
          <w:rFonts w:cs="Calibri"/>
        </w:rPr>
      </w:pPr>
      <w:r w:rsidRPr="002B1B69">
        <w:rPr>
          <w:rFonts w:cs="Calibri"/>
        </w:rPr>
        <w:t>Social media</w:t>
      </w:r>
    </w:p>
    <w:p w14:paraId="608D52D8" w14:textId="77777777" w:rsidR="007216BD" w:rsidRPr="002B1B69" w:rsidRDefault="00000000">
      <w:pPr>
        <w:pStyle w:val="ListBullet"/>
        <w:rPr>
          <w:rFonts w:cs="Calibri"/>
        </w:rPr>
      </w:pPr>
      <w:r w:rsidRPr="002B1B69">
        <w:rPr>
          <w:rFonts w:cs="Calibri"/>
        </w:rPr>
        <w:t>Community posters</w:t>
      </w:r>
    </w:p>
    <w:p w14:paraId="28B00335" w14:textId="77777777" w:rsidR="007216BD" w:rsidRPr="002B1B69" w:rsidRDefault="00000000">
      <w:pPr>
        <w:pStyle w:val="ListBullet"/>
        <w:rPr>
          <w:rFonts w:cs="Calibri"/>
        </w:rPr>
      </w:pPr>
      <w:r w:rsidRPr="002B1B69">
        <w:rPr>
          <w:rFonts w:cs="Calibri"/>
        </w:rPr>
        <w:t>Website articles</w:t>
      </w:r>
    </w:p>
    <w:p w14:paraId="0377E0D3" w14:textId="77777777" w:rsidR="007216BD" w:rsidRPr="002B1B69" w:rsidRDefault="00000000">
      <w:pPr>
        <w:pStyle w:val="ListBullet"/>
        <w:rPr>
          <w:rFonts w:cs="Calibri"/>
        </w:rPr>
      </w:pPr>
      <w:r w:rsidRPr="002B1B69">
        <w:rPr>
          <w:rFonts w:cs="Calibri"/>
        </w:rPr>
        <w:t>Targeted email campaigns</w:t>
      </w:r>
    </w:p>
    <w:p w14:paraId="28F8A697" w14:textId="77777777" w:rsidR="007216BD" w:rsidRPr="002B1B69" w:rsidRDefault="00000000">
      <w:pPr>
        <w:pStyle w:val="ListBullet"/>
        <w:rPr>
          <w:rFonts w:cs="Calibri"/>
        </w:rPr>
      </w:pPr>
      <w:r w:rsidRPr="002B1B69">
        <w:rPr>
          <w:rFonts w:cs="Calibri"/>
        </w:rPr>
        <w:t>Community champions</w:t>
      </w:r>
    </w:p>
    <w:p w14:paraId="661BC193" w14:textId="77777777" w:rsidR="007216BD" w:rsidRPr="002B1B69" w:rsidRDefault="00000000">
      <w:pPr>
        <w:pStyle w:val="ListBullet"/>
        <w:rPr>
          <w:rFonts w:cs="Calibri"/>
        </w:rPr>
      </w:pPr>
      <w:r w:rsidRPr="002B1B69">
        <w:rPr>
          <w:rFonts w:cs="Calibri"/>
        </w:rPr>
        <w:t>Local events and roadshows</w:t>
      </w:r>
    </w:p>
    <w:p w14:paraId="51DE129F" w14:textId="77777777" w:rsidR="007216BD" w:rsidRPr="002B1B69" w:rsidRDefault="00000000">
      <w:pPr>
        <w:pStyle w:val="Heading1"/>
        <w:rPr>
          <w:rFonts w:ascii="Calibri" w:hAnsi="Calibri" w:cs="Calibri"/>
        </w:rPr>
      </w:pPr>
      <w:r w:rsidRPr="002B1B69">
        <w:rPr>
          <w:rFonts w:ascii="Calibri" w:hAnsi="Calibri" w:cs="Calibri"/>
        </w:rPr>
        <w:t>11. Risk Assessment and Mitigation</w:t>
      </w:r>
    </w:p>
    <w:p w14:paraId="4F7D3F05" w14:textId="77777777" w:rsidR="007216BD" w:rsidRPr="002B1B69" w:rsidRDefault="00000000">
      <w:pPr>
        <w:pStyle w:val="ListBullet"/>
        <w:rPr>
          <w:rFonts w:cs="Calibri"/>
        </w:rPr>
      </w:pPr>
      <w:r w:rsidRPr="002B1B69">
        <w:rPr>
          <w:rFonts w:cs="Calibri"/>
        </w:rPr>
        <w:t>Low engagement levels</w:t>
      </w:r>
    </w:p>
    <w:p w14:paraId="12E773D1" w14:textId="77777777" w:rsidR="007216BD" w:rsidRPr="002B1B69" w:rsidRDefault="00000000">
      <w:pPr>
        <w:pStyle w:val="ListBullet"/>
        <w:rPr>
          <w:rFonts w:cs="Calibri"/>
        </w:rPr>
      </w:pPr>
      <w:r w:rsidRPr="002B1B69">
        <w:rPr>
          <w:rFonts w:cs="Calibri"/>
        </w:rPr>
        <w:t>Consultation fatigue</w:t>
      </w:r>
    </w:p>
    <w:p w14:paraId="5452D9F6" w14:textId="77777777" w:rsidR="007216BD" w:rsidRPr="002B1B69" w:rsidRDefault="00000000">
      <w:pPr>
        <w:pStyle w:val="ListBullet"/>
        <w:rPr>
          <w:rFonts w:cs="Calibri"/>
        </w:rPr>
      </w:pPr>
      <w:r w:rsidRPr="002B1B69">
        <w:rPr>
          <w:rFonts w:cs="Calibri"/>
        </w:rPr>
        <w:t>Lack of trust in decision-making</w:t>
      </w:r>
    </w:p>
    <w:p w14:paraId="0980A5AF" w14:textId="77777777" w:rsidR="007216BD" w:rsidRPr="002B1B69" w:rsidRDefault="00000000">
      <w:pPr>
        <w:pStyle w:val="ListBullet"/>
        <w:rPr>
          <w:rFonts w:cs="Calibri"/>
        </w:rPr>
      </w:pPr>
      <w:r w:rsidRPr="002B1B69">
        <w:rPr>
          <w:rFonts w:cs="Calibri"/>
        </w:rPr>
        <w:t>Digital exclusion</w:t>
      </w:r>
    </w:p>
    <w:p w14:paraId="2760F2F5" w14:textId="77777777" w:rsidR="007216BD" w:rsidRPr="002B1B69" w:rsidRDefault="00000000">
      <w:pPr>
        <w:pStyle w:val="ListBullet"/>
        <w:rPr>
          <w:rFonts w:cs="Calibri"/>
        </w:rPr>
      </w:pPr>
      <w:r w:rsidRPr="002B1B69">
        <w:rPr>
          <w:rFonts w:cs="Calibri"/>
        </w:rPr>
        <w:t>Misunderstanding procurement limitations</w:t>
      </w:r>
    </w:p>
    <w:p w14:paraId="4D556650" w14:textId="77777777" w:rsidR="007216BD" w:rsidRPr="002B1B69" w:rsidRDefault="00000000">
      <w:pPr>
        <w:pStyle w:val="ListBullet"/>
        <w:rPr>
          <w:rFonts w:cs="Calibri"/>
        </w:rPr>
      </w:pPr>
      <w:r w:rsidRPr="002B1B69">
        <w:rPr>
          <w:rFonts w:cs="Calibri"/>
        </w:rPr>
        <w:t>Conflicting stakeholder priorities</w:t>
      </w:r>
    </w:p>
    <w:p w14:paraId="6042E593" w14:textId="77777777" w:rsidR="007216BD" w:rsidRPr="002B1B69" w:rsidRDefault="00000000">
      <w:pPr>
        <w:pStyle w:val="ListBullet"/>
        <w:rPr>
          <w:rFonts w:cs="Calibri"/>
        </w:rPr>
      </w:pPr>
      <w:r w:rsidRPr="002B1B69">
        <w:rPr>
          <w:rFonts w:cs="Calibri"/>
        </w:rPr>
        <w:t>Political sensitivities</w:t>
      </w:r>
    </w:p>
    <w:p w14:paraId="016E226E" w14:textId="77777777" w:rsidR="007216BD" w:rsidRPr="002B1B69" w:rsidRDefault="00000000">
      <w:pPr>
        <w:pStyle w:val="ListBullet"/>
        <w:rPr>
          <w:rFonts w:cs="Calibri"/>
        </w:rPr>
      </w:pPr>
      <w:r w:rsidRPr="002B1B69">
        <w:rPr>
          <w:rFonts w:cs="Calibri"/>
        </w:rPr>
        <w:t>Supplier challenge or reputational concerns</w:t>
      </w:r>
    </w:p>
    <w:p w14:paraId="792B8A42" w14:textId="77777777" w:rsidR="007216BD" w:rsidRPr="002B1B69" w:rsidRDefault="00000000">
      <w:pPr>
        <w:pStyle w:val="Heading1"/>
        <w:rPr>
          <w:rFonts w:ascii="Calibri" w:hAnsi="Calibri" w:cs="Calibri"/>
        </w:rPr>
      </w:pPr>
      <w:r w:rsidRPr="002B1B69">
        <w:rPr>
          <w:rFonts w:ascii="Calibri" w:hAnsi="Calibri" w:cs="Calibri"/>
        </w:rPr>
        <w:t>12. Procurement Transparency and Governance</w:t>
      </w:r>
    </w:p>
    <w:p w14:paraId="1663FDF1" w14:textId="77777777" w:rsidR="007216BD" w:rsidRPr="002B1B69" w:rsidRDefault="00000000">
      <w:pPr>
        <w:pStyle w:val="ListBullet"/>
        <w:rPr>
          <w:rFonts w:cs="Calibri"/>
        </w:rPr>
      </w:pPr>
      <w:r w:rsidRPr="002B1B69">
        <w:rPr>
          <w:rFonts w:cs="Calibri"/>
        </w:rPr>
        <w:t>Clarify procurement rules and thresholds.</w:t>
      </w:r>
    </w:p>
    <w:p w14:paraId="1511BE13" w14:textId="77777777" w:rsidR="007216BD" w:rsidRPr="002B1B69" w:rsidRDefault="00000000">
      <w:pPr>
        <w:pStyle w:val="ListBullet"/>
        <w:rPr>
          <w:rFonts w:cs="Calibri"/>
        </w:rPr>
      </w:pPr>
      <w:r w:rsidRPr="002B1B69">
        <w:rPr>
          <w:rFonts w:cs="Calibri"/>
        </w:rPr>
        <w:t>Explain evaluation criteria in plain English.</w:t>
      </w:r>
    </w:p>
    <w:p w14:paraId="64B5A93B" w14:textId="77777777" w:rsidR="007216BD" w:rsidRPr="002B1B69" w:rsidRDefault="00000000">
      <w:pPr>
        <w:pStyle w:val="ListBullet"/>
        <w:rPr>
          <w:rFonts w:cs="Calibri"/>
        </w:rPr>
      </w:pPr>
      <w:r w:rsidRPr="002B1B69">
        <w:rPr>
          <w:rFonts w:cs="Calibri"/>
        </w:rPr>
        <w:t>Document decision-making processes.</w:t>
      </w:r>
    </w:p>
    <w:p w14:paraId="282A1D78" w14:textId="77777777" w:rsidR="007216BD" w:rsidRPr="002B1B69" w:rsidRDefault="00000000">
      <w:pPr>
        <w:pStyle w:val="ListBullet"/>
        <w:rPr>
          <w:rFonts w:cs="Calibri"/>
        </w:rPr>
      </w:pPr>
      <w:r w:rsidRPr="002B1B69">
        <w:rPr>
          <w:rFonts w:cs="Calibri"/>
        </w:rPr>
        <w:t>Ensure conflicts of interest are managed.</w:t>
      </w:r>
    </w:p>
    <w:p w14:paraId="72B940AF" w14:textId="77777777" w:rsidR="007216BD" w:rsidRPr="002B1B69" w:rsidRDefault="00000000">
      <w:pPr>
        <w:pStyle w:val="ListBullet"/>
        <w:rPr>
          <w:rFonts w:cs="Calibri"/>
        </w:rPr>
      </w:pPr>
      <w:r w:rsidRPr="002B1B69">
        <w:rPr>
          <w:rFonts w:cs="Calibri"/>
        </w:rPr>
        <w:t>Provide resident feedback summaries.</w:t>
      </w:r>
    </w:p>
    <w:p w14:paraId="47F36D57" w14:textId="77777777" w:rsidR="007216BD" w:rsidRPr="002B1B69" w:rsidRDefault="00000000">
      <w:pPr>
        <w:pStyle w:val="ListBullet"/>
        <w:rPr>
          <w:rFonts w:cs="Calibri"/>
        </w:rPr>
      </w:pPr>
      <w:r w:rsidRPr="002B1B69">
        <w:rPr>
          <w:rFonts w:cs="Calibri"/>
        </w:rPr>
        <w:t>Maintain audit trails and governance records.</w:t>
      </w:r>
    </w:p>
    <w:p w14:paraId="60B66E82" w14:textId="77777777" w:rsidR="007216BD" w:rsidRPr="002B1B69" w:rsidRDefault="00000000">
      <w:pPr>
        <w:pStyle w:val="Heading1"/>
        <w:rPr>
          <w:rFonts w:ascii="Calibri" w:hAnsi="Calibri" w:cs="Calibri"/>
        </w:rPr>
      </w:pPr>
      <w:r w:rsidRPr="002B1B69">
        <w:rPr>
          <w:rFonts w:ascii="Calibri" w:hAnsi="Calibri" w:cs="Calibri"/>
        </w:rPr>
        <w:t>13. Data Protection and Confidentiality</w:t>
      </w:r>
    </w:p>
    <w:p w14:paraId="51BA4B24" w14:textId="77777777" w:rsidR="007216BD" w:rsidRPr="002B1B69" w:rsidRDefault="00000000">
      <w:pPr>
        <w:pStyle w:val="ListBullet"/>
        <w:rPr>
          <w:rFonts w:cs="Calibri"/>
        </w:rPr>
      </w:pPr>
      <w:r w:rsidRPr="002B1B69">
        <w:rPr>
          <w:rFonts w:cs="Calibri"/>
        </w:rPr>
        <w:t>GDPR compliance</w:t>
      </w:r>
    </w:p>
    <w:p w14:paraId="72E17CB7" w14:textId="77777777" w:rsidR="007216BD" w:rsidRPr="002B1B69" w:rsidRDefault="00000000">
      <w:pPr>
        <w:pStyle w:val="ListBullet"/>
        <w:rPr>
          <w:rFonts w:cs="Calibri"/>
        </w:rPr>
      </w:pPr>
      <w:r w:rsidRPr="002B1B69">
        <w:rPr>
          <w:rFonts w:cs="Calibri"/>
        </w:rPr>
        <w:t>Consent arrangements</w:t>
      </w:r>
    </w:p>
    <w:p w14:paraId="4F7A741D" w14:textId="77777777" w:rsidR="007216BD" w:rsidRPr="002B1B69" w:rsidRDefault="00000000">
      <w:pPr>
        <w:pStyle w:val="ListBullet"/>
        <w:rPr>
          <w:rFonts w:cs="Calibri"/>
        </w:rPr>
      </w:pPr>
      <w:r w:rsidRPr="002B1B69">
        <w:rPr>
          <w:rFonts w:cs="Calibri"/>
        </w:rPr>
        <w:t>Secure storage of engagement records</w:t>
      </w:r>
    </w:p>
    <w:p w14:paraId="27C54B23" w14:textId="77777777" w:rsidR="007216BD" w:rsidRPr="002B1B69" w:rsidRDefault="00000000">
      <w:pPr>
        <w:pStyle w:val="ListBullet"/>
        <w:rPr>
          <w:rFonts w:cs="Calibri"/>
        </w:rPr>
      </w:pPr>
      <w:r w:rsidRPr="002B1B69">
        <w:rPr>
          <w:rFonts w:cs="Calibri"/>
        </w:rPr>
        <w:t>Anonymisation of responses</w:t>
      </w:r>
    </w:p>
    <w:p w14:paraId="56E045F2" w14:textId="77777777" w:rsidR="007216BD" w:rsidRPr="002B1B69" w:rsidRDefault="00000000">
      <w:pPr>
        <w:pStyle w:val="ListBullet"/>
        <w:rPr>
          <w:rFonts w:cs="Calibri"/>
        </w:rPr>
      </w:pPr>
      <w:r w:rsidRPr="002B1B69">
        <w:rPr>
          <w:rFonts w:cs="Calibri"/>
        </w:rPr>
        <w:t>Retention periods</w:t>
      </w:r>
    </w:p>
    <w:p w14:paraId="74E832A5" w14:textId="77777777" w:rsidR="007216BD" w:rsidRPr="002B1B69" w:rsidRDefault="00000000">
      <w:pPr>
        <w:pStyle w:val="ListBullet"/>
        <w:rPr>
          <w:rFonts w:cs="Calibri"/>
        </w:rPr>
      </w:pPr>
      <w:r w:rsidRPr="002B1B69">
        <w:rPr>
          <w:rFonts w:cs="Calibri"/>
        </w:rPr>
        <w:t>Freedom of Information considerations</w:t>
      </w:r>
    </w:p>
    <w:p w14:paraId="0AEBED10" w14:textId="77777777" w:rsidR="007216BD" w:rsidRPr="002B1B69" w:rsidRDefault="00000000">
      <w:pPr>
        <w:pStyle w:val="Heading1"/>
        <w:rPr>
          <w:rFonts w:ascii="Calibri" w:hAnsi="Calibri" w:cs="Calibri"/>
        </w:rPr>
      </w:pPr>
      <w:r w:rsidRPr="002B1B69">
        <w:rPr>
          <w:rFonts w:ascii="Calibri" w:hAnsi="Calibri" w:cs="Calibri"/>
        </w:rPr>
        <w:lastRenderedPageBreak/>
        <w:t>14. Resident Feedback Analysis</w:t>
      </w:r>
    </w:p>
    <w:p w14:paraId="17F241BA" w14:textId="77777777" w:rsidR="007216BD" w:rsidRPr="002B1B69" w:rsidRDefault="00000000">
      <w:pPr>
        <w:pStyle w:val="ListBullet"/>
        <w:rPr>
          <w:rFonts w:cs="Calibri"/>
        </w:rPr>
      </w:pPr>
      <w:r w:rsidRPr="002B1B69">
        <w:rPr>
          <w:rFonts w:cs="Calibri"/>
        </w:rPr>
        <w:t>Key themes identified</w:t>
      </w:r>
    </w:p>
    <w:p w14:paraId="43D037EA" w14:textId="77777777" w:rsidR="007216BD" w:rsidRPr="002B1B69" w:rsidRDefault="00000000">
      <w:pPr>
        <w:pStyle w:val="ListBullet"/>
        <w:rPr>
          <w:rFonts w:cs="Calibri"/>
        </w:rPr>
      </w:pPr>
      <w:r w:rsidRPr="002B1B69">
        <w:rPr>
          <w:rFonts w:cs="Calibri"/>
        </w:rPr>
        <w:t>Top priorities raised</w:t>
      </w:r>
    </w:p>
    <w:p w14:paraId="25FDE074" w14:textId="77777777" w:rsidR="007216BD" w:rsidRPr="002B1B69" w:rsidRDefault="00000000">
      <w:pPr>
        <w:pStyle w:val="ListBullet"/>
        <w:rPr>
          <w:rFonts w:cs="Calibri"/>
        </w:rPr>
      </w:pPr>
      <w:r w:rsidRPr="002B1B69">
        <w:rPr>
          <w:rFonts w:cs="Calibri"/>
        </w:rPr>
        <w:t>Areas of dissatisfaction</w:t>
      </w:r>
    </w:p>
    <w:p w14:paraId="179890D1" w14:textId="77777777" w:rsidR="007216BD" w:rsidRPr="002B1B69" w:rsidRDefault="00000000">
      <w:pPr>
        <w:pStyle w:val="ListBullet"/>
        <w:rPr>
          <w:rFonts w:cs="Calibri"/>
        </w:rPr>
      </w:pPr>
      <w:r w:rsidRPr="002B1B69">
        <w:rPr>
          <w:rFonts w:cs="Calibri"/>
        </w:rPr>
        <w:t>Suggested improvements</w:t>
      </w:r>
    </w:p>
    <w:p w14:paraId="52F87120" w14:textId="77777777" w:rsidR="007216BD" w:rsidRPr="002B1B69" w:rsidRDefault="00000000">
      <w:pPr>
        <w:pStyle w:val="ListBullet"/>
        <w:rPr>
          <w:rFonts w:cs="Calibri"/>
        </w:rPr>
      </w:pPr>
      <w:r w:rsidRPr="002B1B69">
        <w:rPr>
          <w:rFonts w:cs="Calibri"/>
        </w:rPr>
        <w:t>Quick wins</w:t>
      </w:r>
    </w:p>
    <w:p w14:paraId="2018B23E" w14:textId="77777777" w:rsidR="007216BD" w:rsidRPr="002B1B69" w:rsidRDefault="00000000">
      <w:pPr>
        <w:pStyle w:val="ListBullet"/>
        <w:rPr>
          <w:rFonts w:cs="Calibri"/>
        </w:rPr>
      </w:pPr>
      <w:r w:rsidRPr="002B1B69">
        <w:rPr>
          <w:rFonts w:cs="Calibri"/>
        </w:rPr>
        <w:t>Long-term recommendations</w:t>
      </w:r>
    </w:p>
    <w:p w14:paraId="6E7AB14A" w14:textId="77777777" w:rsidR="007216BD" w:rsidRPr="002B1B69" w:rsidRDefault="00000000">
      <w:pPr>
        <w:pStyle w:val="ListBullet"/>
        <w:rPr>
          <w:rFonts w:cs="Calibri"/>
        </w:rPr>
      </w:pPr>
      <w:r w:rsidRPr="002B1B69">
        <w:rPr>
          <w:rFonts w:cs="Calibri"/>
        </w:rPr>
        <w:t>Quantitative analysis</w:t>
      </w:r>
    </w:p>
    <w:p w14:paraId="73F049A2" w14:textId="77777777" w:rsidR="007216BD" w:rsidRPr="002B1B69" w:rsidRDefault="00000000">
      <w:pPr>
        <w:pStyle w:val="ListBullet"/>
        <w:rPr>
          <w:rFonts w:cs="Calibri"/>
        </w:rPr>
      </w:pPr>
      <w:r w:rsidRPr="002B1B69">
        <w:rPr>
          <w:rFonts w:cs="Calibri"/>
        </w:rPr>
        <w:t>Qualitative insight</w:t>
      </w:r>
    </w:p>
    <w:p w14:paraId="6445BF50" w14:textId="77777777" w:rsidR="007216BD" w:rsidRPr="002B1B69" w:rsidRDefault="00000000">
      <w:pPr>
        <w:pStyle w:val="Heading1"/>
        <w:rPr>
          <w:rFonts w:ascii="Calibri" w:hAnsi="Calibri" w:cs="Calibri"/>
        </w:rPr>
      </w:pPr>
      <w:r w:rsidRPr="002B1B69">
        <w:rPr>
          <w:rFonts w:ascii="Calibri" w:hAnsi="Calibri" w:cs="Calibri"/>
        </w:rPr>
        <w:t>15. Influence and Decision Tracking</w:t>
      </w:r>
    </w:p>
    <w:p w14:paraId="62C95CD1" w14:textId="77777777" w:rsidR="007216BD" w:rsidRPr="002B1B69" w:rsidRDefault="00000000">
      <w:pPr>
        <w:pStyle w:val="ListBullet"/>
        <w:rPr>
          <w:rFonts w:cs="Calibri"/>
        </w:rPr>
      </w:pPr>
      <w:r w:rsidRPr="002B1B69">
        <w:rPr>
          <w:rFonts w:cs="Calibri"/>
        </w:rPr>
        <w:t>What residents said</w:t>
      </w:r>
    </w:p>
    <w:p w14:paraId="61FAA852" w14:textId="77777777" w:rsidR="007216BD" w:rsidRPr="002B1B69" w:rsidRDefault="00000000">
      <w:pPr>
        <w:pStyle w:val="ListBullet"/>
        <w:rPr>
          <w:rFonts w:cs="Calibri"/>
        </w:rPr>
      </w:pPr>
      <w:r w:rsidRPr="002B1B69">
        <w:rPr>
          <w:rFonts w:cs="Calibri"/>
        </w:rPr>
        <w:t>What action was taken</w:t>
      </w:r>
    </w:p>
    <w:p w14:paraId="68184F4B" w14:textId="77777777" w:rsidR="007216BD" w:rsidRPr="002B1B69" w:rsidRDefault="00000000">
      <w:pPr>
        <w:pStyle w:val="ListBullet"/>
        <w:rPr>
          <w:rFonts w:cs="Calibri"/>
        </w:rPr>
      </w:pPr>
      <w:r w:rsidRPr="002B1B69">
        <w:rPr>
          <w:rFonts w:cs="Calibri"/>
        </w:rPr>
        <w:t>Why decisions were made</w:t>
      </w:r>
    </w:p>
    <w:p w14:paraId="07A6D39B" w14:textId="77777777" w:rsidR="007216BD" w:rsidRPr="002B1B69" w:rsidRDefault="00000000">
      <w:pPr>
        <w:pStyle w:val="ListBullet"/>
        <w:rPr>
          <w:rFonts w:cs="Calibri"/>
        </w:rPr>
      </w:pPr>
      <w:r w:rsidRPr="002B1B69">
        <w:rPr>
          <w:rFonts w:cs="Calibri"/>
        </w:rPr>
        <w:t>What could not be changed and why</w:t>
      </w:r>
    </w:p>
    <w:p w14:paraId="26108F3E" w14:textId="77777777" w:rsidR="007216BD" w:rsidRPr="002B1B69" w:rsidRDefault="00000000">
      <w:pPr>
        <w:pStyle w:val="ListBullet"/>
        <w:rPr>
          <w:rFonts w:cs="Calibri"/>
        </w:rPr>
      </w:pPr>
      <w:r w:rsidRPr="002B1B69">
        <w:rPr>
          <w:rFonts w:cs="Calibri"/>
        </w:rPr>
        <w:t>Evidence of resident influence</w:t>
      </w:r>
    </w:p>
    <w:p w14:paraId="6453FE42" w14:textId="77777777" w:rsidR="007216BD" w:rsidRPr="002B1B69" w:rsidRDefault="00000000">
      <w:pPr>
        <w:pStyle w:val="ListBullet"/>
        <w:rPr>
          <w:rFonts w:cs="Calibri"/>
        </w:rPr>
      </w:pPr>
      <w:r w:rsidRPr="002B1B69">
        <w:rPr>
          <w:rFonts w:cs="Calibri"/>
        </w:rPr>
        <w:t>Performance monitoring arrangements</w:t>
      </w:r>
    </w:p>
    <w:p w14:paraId="054E27C9" w14:textId="77777777" w:rsidR="007216BD" w:rsidRPr="002B1B69" w:rsidRDefault="00000000">
      <w:pPr>
        <w:pStyle w:val="Heading1"/>
        <w:rPr>
          <w:rFonts w:ascii="Calibri" w:hAnsi="Calibri" w:cs="Calibri"/>
        </w:rPr>
      </w:pPr>
      <w:r w:rsidRPr="002B1B69">
        <w:rPr>
          <w:rFonts w:ascii="Calibri" w:hAnsi="Calibri" w:cs="Calibri"/>
        </w:rPr>
        <w:t>16. Supplier and Contractor Engagement Standards</w:t>
      </w:r>
    </w:p>
    <w:p w14:paraId="2258FC86" w14:textId="77777777" w:rsidR="007216BD" w:rsidRPr="002B1B69" w:rsidRDefault="00000000">
      <w:pPr>
        <w:pStyle w:val="ListBullet"/>
        <w:rPr>
          <w:rFonts w:cs="Calibri"/>
        </w:rPr>
      </w:pPr>
      <w:r w:rsidRPr="002B1B69">
        <w:rPr>
          <w:rFonts w:cs="Calibri"/>
        </w:rPr>
        <w:t>Expected behaviours</w:t>
      </w:r>
    </w:p>
    <w:p w14:paraId="4ADC647D" w14:textId="77777777" w:rsidR="007216BD" w:rsidRPr="002B1B69" w:rsidRDefault="00000000">
      <w:pPr>
        <w:pStyle w:val="ListBullet"/>
        <w:rPr>
          <w:rFonts w:cs="Calibri"/>
        </w:rPr>
      </w:pPr>
      <w:r w:rsidRPr="002B1B69">
        <w:rPr>
          <w:rFonts w:cs="Calibri"/>
        </w:rPr>
        <w:t>Resident communication expectations</w:t>
      </w:r>
    </w:p>
    <w:p w14:paraId="0407F804" w14:textId="77777777" w:rsidR="007216BD" w:rsidRPr="002B1B69" w:rsidRDefault="00000000">
      <w:pPr>
        <w:pStyle w:val="ListBullet"/>
        <w:rPr>
          <w:rFonts w:cs="Calibri"/>
        </w:rPr>
      </w:pPr>
      <w:r w:rsidRPr="002B1B69">
        <w:rPr>
          <w:rFonts w:cs="Calibri"/>
        </w:rPr>
        <w:t>Equality and inclusion standards</w:t>
      </w:r>
    </w:p>
    <w:p w14:paraId="40C25472" w14:textId="77777777" w:rsidR="007216BD" w:rsidRPr="002B1B69" w:rsidRDefault="00000000">
      <w:pPr>
        <w:pStyle w:val="ListBullet"/>
        <w:rPr>
          <w:rFonts w:cs="Calibri"/>
        </w:rPr>
      </w:pPr>
      <w:r w:rsidRPr="002B1B69">
        <w:rPr>
          <w:rFonts w:cs="Calibri"/>
        </w:rPr>
        <w:t>Complaint handling requirements</w:t>
      </w:r>
    </w:p>
    <w:p w14:paraId="7A2E6C95" w14:textId="77777777" w:rsidR="007216BD" w:rsidRPr="002B1B69" w:rsidRDefault="00000000">
      <w:pPr>
        <w:pStyle w:val="ListBullet"/>
        <w:rPr>
          <w:rFonts w:cs="Calibri"/>
        </w:rPr>
      </w:pPr>
      <w:r w:rsidRPr="002B1B69">
        <w:rPr>
          <w:rFonts w:cs="Calibri"/>
        </w:rPr>
        <w:t>Social value delivery expectations</w:t>
      </w:r>
    </w:p>
    <w:p w14:paraId="620881CB" w14:textId="77777777" w:rsidR="007216BD" w:rsidRPr="002B1B69" w:rsidRDefault="00000000">
      <w:pPr>
        <w:pStyle w:val="ListBullet"/>
        <w:rPr>
          <w:rFonts w:cs="Calibri"/>
        </w:rPr>
      </w:pPr>
      <w:r w:rsidRPr="002B1B69">
        <w:rPr>
          <w:rFonts w:cs="Calibri"/>
        </w:rPr>
        <w:t>Safeguarding responsibilities</w:t>
      </w:r>
    </w:p>
    <w:p w14:paraId="7B6837B6" w14:textId="77777777" w:rsidR="007216BD" w:rsidRPr="002B1B69" w:rsidRDefault="00000000">
      <w:pPr>
        <w:pStyle w:val="ListBullet"/>
        <w:rPr>
          <w:rFonts w:cs="Calibri"/>
        </w:rPr>
      </w:pPr>
      <w:r w:rsidRPr="002B1B69">
        <w:rPr>
          <w:rFonts w:cs="Calibri"/>
        </w:rPr>
        <w:t>Customer service standards</w:t>
      </w:r>
    </w:p>
    <w:p w14:paraId="682E41B1" w14:textId="77777777" w:rsidR="007216BD" w:rsidRPr="002B1B69" w:rsidRDefault="00000000">
      <w:pPr>
        <w:pStyle w:val="Heading1"/>
        <w:rPr>
          <w:rFonts w:ascii="Calibri" w:hAnsi="Calibri" w:cs="Calibri"/>
        </w:rPr>
      </w:pPr>
      <w:r w:rsidRPr="002B1B69">
        <w:rPr>
          <w:rFonts w:ascii="Calibri" w:hAnsi="Calibri" w:cs="Calibri"/>
        </w:rPr>
        <w:t>17. Monitoring, Evaluation and Learning</w:t>
      </w:r>
    </w:p>
    <w:p w14:paraId="519B17D0" w14:textId="77777777" w:rsidR="007216BD" w:rsidRPr="002B1B69" w:rsidRDefault="00000000">
      <w:pPr>
        <w:pStyle w:val="ListBullet"/>
        <w:rPr>
          <w:rFonts w:cs="Calibri"/>
        </w:rPr>
      </w:pPr>
      <w:r w:rsidRPr="002B1B69">
        <w:rPr>
          <w:rFonts w:cs="Calibri"/>
        </w:rPr>
        <w:t>How success will be measured</w:t>
      </w:r>
    </w:p>
    <w:p w14:paraId="45ED71B6" w14:textId="77777777" w:rsidR="007216BD" w:rsidRPr="002B1B69" w:rsidRDefault="00000000">
      <w:pPr>
        <w:pStyle w:val="ListBullet"/>
        <w:rPr>
          <w:rFonts w:cs="Calibri"/>
        </w:rPr>
      </w:pPr>
      <w:r w:rsidRPr="002B1B69">
        <w:rPr>
          <w:rFonts w:cs="Calibri"/>
        </w:rPr>
        <w:t>KPIs and outcomes</w:t>
      </w:r>
    </w:p>
    <w:p w14:paraId="41302337" w14:textId="77777777" w:rsidR="007216BD" w:rsidRPr="002B1B69" w:rsidRDefault="00000000">
      <w:pPr>
        <w:pStyle w:val="ListBullet"/>
        <w:rPr>
          <w:rFonts w:cs="Calibri"/>
        </w:rPr>
      </w:pPr>
      <w:r w:rsidRPr="002B1B69">
        <w:rPr>
          <w:rFonts w:cs="Calibri"/>
        </w:rPr>
        <w:t>Lessons learned</w:t>
      </w:r>
    </w:p>
    <w:p w14:paraId="6EC3D57C" w14:textId="77777777" w:rsidR="007216BD" w:rsidRPr="002B1B69" w:rsidRDefault="00000000">
      <w:pPr>
        <w:pStyle w:val="ListBullet"/>
        <w:rPr>
          <w:rFonts w:cs="Calibri"/>
        </w:rPr>
      </w:pPr>
      <w:r w:rsidRPr="002B1B69">
        <w:rPr>
          <w:rFonts w:cs="Calibri"/>
        </w:rPr>
        <w:t>Resident satisfaction with engagement</w:t>
      </w:r>
    </w:p>
    <w:p w14:paraId="69E1F473" w14:textId="77777777" w:rsidR="007216BD" w:rsidRPr="002B1B69" w:rsidRDefault="00000000">
      <w:pPr>
        <w:pStyle w:val="ListBullet"/>
        <w:rPr>
          <w:rFonts w:cs="Calibri"/>
        </w:rPr>
      </w:pPr>
      <w:r w:rsidRPr="002B1B69">
        <w:rPr>
          <w:rFonts w:cs="Calibri"/>
        </w:rPr>
        <w:t>Future improvement opportunities</w:t>
      </w:r>
    </w:p>
    <w:p w14:paraId="1C6BCA1A" w14:textId="77777777" w:rsidR="007216BD" w:rsidRPr="002B1B69" w:rsidRDefault="00000000">
      <w:pPr>
        <w:pStyle w:val="ListBullet"/>
        <w:rPr>
          <w:rFonts w:cs="Calibri"/>
        </w:rPr>
      </w:pPr>
      <w:r w:rsidRPr="002B1B69">
        <w:rPr>
          <w:rFonts w:cs="Calibri"/>
        </w:rPr>
        <w:t>Reporting arrangements to Boards and Committees</w:t>
      </w:r>
    </w:p>
    <w:p w14:paraId="6E35179E" w14:textId="77777777" w:rsidR="007216BD" w:rsidRPr="002B1B69" w:rsidRDefault="00000000">
      <w:pPr>
        <w:pStyle w:val="Heading1"/>
        <w:rPr>
          <w:rFonts w:ascii="Calibri" w:hAnsi="Calibri" w:cs="Calibri"/>
        </w:rPr>
      </w:pPr>
      <w:r w:rsidRPr="002B1B69">
        <w:rPr>
          <w:rFonts w:ascii="Calibri" w:hAnsi="Calibri" w:cs="Calibri"/>
        </w:rPr>
        <w:lastRenderedPageBreak/>
        <w:t>18. Example Engagement Timeline</w:t>
      </w:r>
    </w:p>
    <w:tbl>
      <w:tblPr>
        <w:tblStyle w:val="TableGrid"/>
        <w:tblW w:w="0" w:type="auto"/>
        <w:tblLook w:val="04A0" w:firstRow="1" w:lastRow="0" w:firstColumn="1" w:lastColumn="0" w:noHBand="0" w:noVBand="1"/>
      </w:tblPr>
      <w:tblGrid>
        <w:gridCol w:w="2160"/>
        <w:gridCol w:w="2160"/>
        <w:gridCol w:w="2160"/>
        <w:gridCol w:w="2160"/>
      </w:tblGrid>
      <w:tr w:rsidR="007216BD" w:rsidRPr="002B1B69" w14:paraId="195FFADC" w14:textId="77777777">
        <w:tc>
          <w:tcPr>
            <w:tcW w:w="2160" w:type="dxa"/>
          </w:tcPr>
          <w:p w14:paraId="05D7EFE1" w14:textId="77777777" w:rsidR="007216BD" w:rsidRPr="002B1B69" w:rsidRDefault="00000000">
            <w:pPr>
              <w:rPr>
                <w:rFonts w:cs="Calibri"/>
              </w:rPr>
            </w:pPr>
            <w:r w:rsidRPr="002B1B69">
              <w:rPr>
                <w:rFonts w:cs="Calibri"/>
              </w:rPr>
              <w:t>Phase</w:t>
            </w:r>
          </w:p>
        </w:tc>
        <w:tc>
          <w:tcPr>
            <w:tcW w:w="2160" w:type="dxa"/>
          </w:tcPr>
          <w:p w14:paraId="481A385F" w14:textId="77777777" w:rsidR="007216BD" w:rsidRPr="002B1B69" w:rsidRDefault="00000000">
            <w:pPr>
              <w:rPr>
                <w:rFonts w:cs="Calibri"/>
              </w:rPr>
            </w:pPr>
            <w:r w:rsidRPr="002B1B69">
              <w:rPr>
                <w:rFonts w:cs="Calibri"/>
              </w:rPr>
              <w:t>Activity</w:t>
            </w:r>
          </w:p>
        </w:tc>
        <w:tc>
          <w:tcPr>
            <w:tcW w:w="2160" w:type="dxa"/>
          </w:tcPr>
          <w:p w14:paraId="30F15FBE" w14:textId="77777777" w:rsidR="007216BD" w:rsidRPr="002B1B69" w:rsidRDefault="00000000">
            <w:pPr>
              <w:rPr>
                <w:rFonts w:cs="Calibri"/>
              </w:rPr>
            </w:pPr>
            <w:r w:rsidRPr="002B1B69">
              <w:rPr>
                <w:rFonts w:cs="Calibri"/>
              </w:rPr>
              <w:t>Indicative Timescale</w:t>
            </w:r>
          </w:p>
        </w:tc>
        <w:tc>
          <w:tcPr>
            <w:tcW w:w="2160" w:type="dxa"/>
          </w:tcPr>
          <w:p w14:paraId="36F2BD96" w14:textId="77777777" w:rsidR="007216BD" w:rsidRPr="002B1B69" w:rsidRDefault="00000000">
            <w:pPr>
              <w:rPr>
                <w:rFonts w:cs="Calibri"/>
              </w:rPr>
            </w:pPr>
            <w:r w:rsidRPr="002B1B69">
              <w:rPr>
                <w:rFonts w:cs="Calibri"/>
              </w:rPr>
              <w:t>Responsible Lead</w:t>
            </w:r>
          </w:p>
        </w:tc>
      </w:tr>
      <w:tr w:rsidR="007216BD" w:rsidRPr="002B1B69" w14:paraId="48DB48C9" w14:textId="77777777">
        <w:tc>
          <w:tcPr>
            <w:tcW w:w="2160" w:type="dxa"/>
          </w:tcPr>
          <w:p w14:paraId="12279BD2" w14:textId="77777777" w:rsidR="007216BD" w:rsidRPr="002B1B69" w:rsidRDefault="00000000">
            <w:pPr>
              <w:rPr>
                <w:rFonts w:cs="Calibri"/>
              </w:rPr>
            </w:pPr>
            <w:r w:rsidRPr="002B1B69">
              <w:rPr>
                <w:rFonts w:cs="Calibri"/>
              </w:rPr>
              <w:t>Preparation</w:t>
            </w:r>
          </w:p>
        </w:tc>
        <w:tc>
          <w:tcPr>
            <w:tcW w:w="2160" w:type="dxa"/>
          </w:tcPr>
          <w:p w14:paraId="14918F39" w14:textId="77777777" w:rsidR="007216BD" w:rsidRPr="002B1B69" w:rsidRDefault="00000000">
            <w:pPr>
              <w:rPr>
                <w:rFonts w:cs="Calibri"/>
              </w:rPr>
            </w:pPr>
            <w:r w:rsidRPr="002B1B69">
              <w:rPr>
                <w:rFonts w:cs="Calibri"/>
              </w:rPr>
              <w:t>Stakeholder mapping and planning</w:t>
            </w:r>
          </w:p>
        </w:tc>
        <w:tc>
          <w:tcPr>
            <w:tcW w:w="2160" w:type="dxa"/>
          </w:tcPr>
          <w:p w14:paraId="2F303F92" w14:textId="77777777" w:rsidR="007216BD" w:rsidRPr="002B1B69" w:rsidRDefault="00000000">
            <w:pPr>
              <w:rPr>
                <w:rFonts w:cs="Calibri"/>
              </w:rPr>
            </w:pPr>
            <w:r w:rsidRPr="002B1B69">
              <w:rPr>
                <w:rFonts w:cs="Calibri"/>
              </w:rPr>
              <w:t>Weeks 1–2</w:t>
            </w:r>
          </w:p>
        </w:tc>
        <w:tc>
          <w:tcPr>
            <w:tcW w:w="2160" w:type="dxa"/>
          </w:tcPr>
          <w:p w14:paraId="690390EA" w14:textId="77777777" w:rsidR="007216BD" w:rsidRPr="002B1B69" w:rsidRDefault="00000000">
            <w:pPr>
              <w:rPr>
                <w:rFonts w:cs="Calibri"/>
              </w:rPr>
            </w:pPr>
            <w:r w:rsidRPr="002B1B69">
              <w:rPr>
                <w:rFonts w:cs="Calibri"/>
              </w:rPr>
              <w:t>Lead Officer</w:t>
            </w:r>
          </w:p>
        </w:tc>
      </w:tr>
      <w:tr w:rsidR="007216BD" w:rsidRPr="002B1B69" w14:paraId="02536880" w14:textId="77777777">
        <w:tc>
          <w:tcPr>
            <w:tcW w:w="2160" w:type="dxa"/>
          </w:tcPr>
          <w:p w14:paraId="1F841074" w14:textId="77777777" w:rsidR="007216BD" w:rsidRPr="002B1B69" w:rsidRDefault="00000000">
            <w:pPr>
              <w:rPr>
                <w:rFonts w:cs="Calibri"/>
              </w:rPr>
            </w:pPr>
            <w:r w:rsidRPr="002B1B69">
              <w:rPr>
                <w:rFonts w:cs="Calibri"/>
              </w:rPr>
              <w:t>Awareness</w:t>
            </w:r>
          </w:p>
        </w:tc>
        <w:tc>
          <w:tcPr>
            <w:tcW w:w="2160" w:type="dxa"/>
          </w:tcPr>
          <w:p w14:paraId="2877E5EB" w14:textId="77777777" w:rsidR="007216BD" w:rsidRPr="002B1B69" w:rsidRDefault="00000000">
            <w:pPr>
              <w:rPr>
                <w:rFonts w:cs="Calibri"/>
              </w:rPr>
            </w:pPr>
            <w:r w:rsidRPr="002B1B69">
              <w:rPr>
                <w:rFonts w:cs="Calibri"/>
              </w:rPr>
              <w:t>Communications and promotion</w:t>
            </w:r>
          </w:p>
        </w:tc>
        <w:tc>
          <w:tcPr>
            <w:tcW w:w="2160" w:type="dxa"/>
          </w:tcPr>
          <w:p w14:paraId="1ABC2F8E" w14:textId="77777777" w:rsidR="007216BD" w:rsidRPr="002B1B69" w:rsidRDefault="00000000">
            <w:pPr>
              <w:rPr>
                <w:rFonts w:cs="Calibri"/>
              </w:rPr>
            </w:pPr>
            <w:r w:rsidRPr="002B1B69">
              <w:rPr>
                <w:rFonts w:cs="Calibri"/>
              </w:rPr>
              <w:t>Weeks 2–3</w:t>
            </w:r>
          </w:p>
        </w:tc>
        <w:tc>
          <w:tcPr>
            <w:tcW w:w="2160" w:type="dxa"/>
          </w:tcPr>
          <w:p w14:paraId="4079237E" w14:textId="77777777" w:rsidR="007216BD" w:rsidRPr="002B1B69" w:rsidRDefault="00000000">
            <w:pPr>
              <w:rPr>
                <w:rFonts w:cs="Calibri"/>
              </w:rPr>
            </w:pPr>
            <w:r w:rsidRPr="002B1B69">
              <w:rPr>
                <w:rFonts w:cs="Calibri"/>
              </w:rPr>
              <w:t>Communications Team</w:t>
            </w:r>
          </w:p>
        </w:tc>
      </w:tr>
      <w:tr w:rsidR="007216BD" w:rsidRPr="002B1B69" w14:paraId="2102106B" w14:textId="77777777">
        <w:tc>
          <w:tcPr>
            <w:tcW w:w="2160" w:type="dxa"/>
          </w:tcPr>
          <w:p w14:paraId="54DCB42A" w14:textId="77777777" w:rsidR="007216BD" w:rsidRPr="002B1B69" w:rsidRDefault="00000000">
            <w:pPr>
              <w:rPr>
                <w:rFonts w:cs="Calibri"/>
              </w:rPr>
            </w:pPr>
            <w:r w:rsidRPr="002B1B69">
              <w:rPr>
                <w:rFonts w:cs="Calibri"/>
              </w:rPr>
              <w:t>Engagement</w:t>
            </w:r>
          </w:p>
        </w:tc>
        <w:tc>
          <w:tcPr>
            <w:tcW w:w="2160" w:type="dxa"/>
          </w:tcPr>
          <w:p w14:paraId="31F89BE8" w14:textId="77777777" w:rsidR="007216BD" w:rsidRPr="002B1B69" w:rsidRDefault="00000000">
            <w:pPr>
              <w:rPr>
                <w:rFonts w:cs="Calibri"/>
              </w:rPr>
            </w:pPr>
            <w:r w:rsidRPr="002B1B69">
              <w:rPr>
                <w:rFonts w:cs="Calibri"/>
              </w:rPr>
              <w:t>Resident engagement activity</w:t>
            </w:r>
          </w:p>
        </w:tc>
        <w:tc>
          <w:tcPr>
            <w:tcW w:w="2160" w:type="dxa"/>
          </w:tcPr>
          <w:p w14:paraId="2981EC4C" w14:textId="77777777" w:rsidR="007216BD" w:rsidRPr="002B1B69" w:rsidRDefault="00000000">
            <w:pPr>
              <w:rPr>
                <w:rFonts w:cs="Calibri"/>
              </w:rPr>
            </w:pPr>
            <w:r w:rsidRPr="002B1B69">
              <w:rPr>
                <w:rFonts w:cs="Calibri"/>
              </w:rPr>
              <w:t>Weeks 3–6</w:t>
            </w:r>
          </w:p>
        </w:tc>
        <w:tc>
          <w:tcPr>
            <w:tcW w:w="2160" w:type="dxa"/>
          </w:tcPr>
          <w:p w14:paraId="7852F15A" w14:textId="77777777" w:rsidR="007216BD" w:rsidRPr="002B1B69" w:rsidRDefault="00000000">
            <w:pPr>
              <w:rPr>
                <w:rFonts w:cs="Calibri"/>
              </w:rPr>
            </w:pPr>
            <w:r w:rsidRPr="002B1B69">
              <w:rPr>
                <w:rFonts w:cs="Calibri"/>
              </w:rPr>
              <w:t>Engagement Team</w:t>
            </w:r>
          </w:p>
        </w:tc>
      </w:tr>
      <w:tr w:rsidR="007216BD" w:rsidRPr="002B1B69" w14:paraId="2698C3CC" w14:textId="77777777">
        <w:tc>
          <w:tcPr>
            <w:tcW w:w="2160" w:type="dxa"/>
          </w:tcPr>
          <w:p w14:paraId="673CA2F9" w14:textId="77777777" w:rsidR="007216BD" w:rsidRPr="002B1B69" w:rsidRDefault="00000000">
            <w:pPr>
              <w:rPr>
                <w:rFonts w:cs="Calibri"/>
              </w:rPr>
            </w:pPr>
            <w:r w:rsidRPr="002B1B69">
              <w:rPr>
                <w:rFonts w:cs="Calibri"/>
              </w:rPr>
              <w:t>Analysis</w:t>
            </w:r>
          </w:p>
        </w:tc>
        <w:tc>
          <w:tcPr>
            <w:tcW w:w="2160" w:type="dxa"/>
          </w:tcPr>
          <w:p w14:paraId="1C451CF3" w14:textId="77777777" w:rsidR="007216BD" w:rsidRPr="002B1B69" w:rsidRDefault="00000000">
            <w:pPr>
              <w:rPr>
                <w:rFonts w:cs="Calibri"/>
              </w:rPr>
            </w:pPr>
            <w:r w:rsidRPr="002B1B69">
              <w:rPr>
                <w:rFonts w:cs="Calibri"/>
              </w:rPr>
              <w:t>Review feedback and findings</w:t>
            </w:r>
          </w:p>
        </w:tc>
        <w:tc>
          <w:tcPr>
            <w:tcW w:w="2160" w:type="dxa"/>
          </w:tcPr>
          <w:p w14:paraId="22745EBC" w14:textId="77777777" w:rsidR="007216BD" w:rsidRPr="002B1B69" w:rsidRDefault="00000000">
            <w:pPr>
              <w:rPr>
                <w:rFonts w:cs="Calibri"/>
              </w:rPr>
            </w:pPr>
            <w:r w:rsidRPr="002B1B69">
              <w:rPr>
                <w:rFonts w:cs="Calibri"/>
              </w:rPr>
              <w:t>Weeks 6–7</w:t>
            </w:r>
          </w:p>
        </w:tc>
        <w:tc>
          <w:tcPr>
            <w:tcW w:w="2160" w:type="dxa"/>
          </w:tcPr>
          <w:p w14:paraId="65631E92" w14:textId="77777777" w:rsidR="007216BD" w:rsidRPr="002B1B69" w:rsidRDefault="00000000">
            <w:pPr>
              <w:rPr>
                <w:rFonts w:cs="Calibri"/>
              </w:rPr>
            </w:pPr>
            <w:r w:rsidRPr="002B1B69">
              <w:rPr>
                <w:rFonts w:cs="Calibri"/>
              </w:rPr>
              <w:t>Procurement Team</w:t>
            </w:r>
          </w:p>
        </w:tc>
      </w:tr>
      <w:tr w:rsidR="007216BD" w:rsidRPr="002B1B69" w14:paraId="72E1EBC7" w14:textId="77777777">
        <w:tc>
          <w:tcPr>
            <w:tcW w:w="2160" w:type="dxa"/>
          </w:tcPr>
          <w:p w14:paraId="4D9C2D25" w14:textId="77777777" w:rsidR="007216BD" w:rsidRPr="002B1B69" w:rsidRDefault="00000000">
            <w:pPr>
              <w:rPr>
                <w:rFonts w:cs="Calibri"/>
              </w:rPr>
            </w:pPr>
            <w:r w:rsidRPr="002B1B69">
              <w:rPr>
                <w:rFonts w:cs="Calibri"/>
              </w:rPr>
              <w:t>Decision</w:t>
            </w:r>
          </w:p>
        </w:tc>
        <w:tc>
          <w:tcPr>
            <w:tcW w:w="2160" w:type="dxa"/>
          </w:tcPr>
          <w:p w14:paraId="7B7CBB94" w14:textId="77777777" w:rsidR="007216BD" w:rsidRPr="002B1B69" w:rsidRDefault="00000000">
            <w:pPr>
              <w:rPr>
                <w:rFonts w:cs="Calibri"/>
              </w:rPr>
            </w:pPr>
            <w:r w:rsidRPr="002B1B69">
              <w:rPr>
                <w:rFonts w:cs="Calibri"/>
              </w:rPr>
              <w:t>Recommendations and approvals</w:t>
            </w:r>
          </w:p>
        </w:tc>
        <w:tc>
          <w:tcPr>
            <w:tcW w:w="2160" w:type="dxa"/>
          </w:tcPr>
          <w:p w14:paraId="7B35267B" w14:textId="77777777" w:rsidR="007216BD" w:rsidRPr="002B1B69" w:rsidRDefault="00000000">
            <w:pPr>
              <w:rPr>
                <w:rFonts w:cs="Calibri"/>
              </w:rPr>
            </w:pPr>
            <w:r w:rsidRPr="002B1B69">
              <w:rPr>
                <w:rFonts w:cs="Calibri"/>
              </w:rPr>
              <w:t>Weeks 7–8</w:t>
            </w:r>
          </w:p>
        </w:tc>
        <w:tc>
          <w:tcPr>
            <w:tcW w:w="2160" w:type="dxa"/>
          </w:tcPr>
          <w:p w14:paraId="41123757" w14:textId="77777777" w:rsidR="007216BD" w:rsidRPr="002B1B69" w:rsidRDefault="00000000">
            <w:pPr>
              <w:rPr>
                <w:rFonts w:cs="Calibri"/>
              </w:rPr>
            </w:pPr>
            <w:r w:rsidRPr="002B1B69">
              <w:rPr>
                <w:rFonts w:cs="Calibri"/>
              </w:rPr>
              <w:t>Senior Leadership</w:t>
            </w:r>
          </w:p>
        </w:tc>
      </w:tr>
      <w:tr w:rsidR="007216BD" w:rsidRPr="002B1B69" w14:paraId="126921E5" w14:textId="77777777">
        <w:tc>
          <w:tcPr>
            <w:tcW w:w="2160" w:type="dxa"/>
          </w:tcPr>
          <w:p w14:paraId="601F3610" w14:textId="77777777" w:rsidR="007216BD" w:rsidRPr="002B1B69" w:rsidRDefault="00000000">
            <w:pPr>
              <w:rPr>
                <w:rFonts w:cs="Calibri"/>
              </w:rPr>
            </w:pPr>
            <w:r w:rsidRPr="002B1B69">
              <w:rPr>
                <w:rFonts w:cs="Calibri"/>
              </w:rPr>
              <w:t>Feedback</w:t>
            </w:r>
          </w:p>
        </w:tc>
        <w:tc>
          <w:tcPr>
            <w:tcW w:w="2160" w:type="dxa"/>
          </w:tcPr>
          <w:p w14:paraId="2869FEEC" w14:textId="77777777" w:rsidR="007216BD" w:rsidRPr="002B1B69" w:rsidRDefault="00000000">
            <w:pPr>
              <w:rPr>
                <w:rFonts w:cs="Calibri"/>
              </w:rPr>
            </w:pPr>
            <w:r w:rsidRPr="002B1B69">
              <w:rPr>
                <w:rFonts w:cs="Calibri"/>
              </w:rPr>
              <w:t>You Said, We Did publication</w:t>
            </w:r>
          </w:p>
        </w:tc>
        <w:tc>
          <w:tcPr>
            <w:tcW w:w="2160" w:type="dxa"/>
          </w:tcPr>
          <w:p w14:paraId="056567EC" w14:textId="77777777" w:rsidR="007216BD" w:rsidRPr="002B1B69" w:rsidRDefault="00000000">
            <w:pPr>
              <w:rPr>
                <w:rFonts w:cs="Calibri"/>
              </w:rPr>
            </w:pPr>
            <w:r w:rsidRPr="002B1B69">
              <w:rPr>
                <w:rFonts w:cs="Calibri"/>
              </w:rPr>
              <w:t>Week 9</w:t>
            </w:r>
          </w:p>
        </w:tc>
        <w:tc>
          <w:tcPr>
            <w:tcW w:w="2160" w:type="dxa"/>
          </w:tcPr>
          <w:p w14:paraId="1E508774" w14:textId="77777777" w:rsidR="007216BD" w:rsidRPr="002B1B69" w:rsidRDefault="00000000">
            <w:pPr>
              <w:rPr>
                <w:rFonts w:cs="Calibri"/>
              </w:rPr>
            </w:pPr>
            <w:r w:rsidRPr="002B1B69">
              <w:rPr>
                <w:rFonts w:cs="Calibri"/>
              </w:rPr>
              <w:t>Customer Team</w:t>
            </w:r>
          </w:p>
        </w:tc>
      </w:tr>
    </w:tbl>
    <w:p w14:paraId="6645FCDF" w14:textId="77777777" w:rsidR="007216BD" w:rsidRPr="002B1B69" w:rsidRDefault="00000000">
      <w:pPr>
        <w:pStyle w:val="Heading1"/>
        <w:rPr>
          <w:rFonts w:ascii="Calibri" w:hAnsi="Calibri" w:cs="Calibri"/>
        </w:rPr>
      </w:pPr>
      <w:r w:rsidRPr="002B1B69">
        <w:rPr>
          <w:rFonts w:ascii="Calibri" w:hAnsi="Calibri" w:cs="Calibri"/>
        </w:rPr>
        <w:t>19. Final Sign-Off and Assurance</w:t>
      </w:r>
    </w:p>
    <w:p w14:paraId="2602D712" w14:textId="77777777" w:rsidR="007216BD" w:rsidRPr="002B1B69" w:rsidRDefault="00000000">
      <w:pPr>
        <w:rPr>
          <w:rFonts w:cs="Calibri"/>
        </w:rPr>
      </w:pPr>
      <w:r w:rsidRPr="002B1B69">
        <w:rPr>
          <w:rFonts w:cs="Calibri"/>
        </w:rPr>
        <w:t>Engagement Lead Approval: ______________________________</w:t>
      </w:r>
    </w:p>
    <w:p w14:paraId="5601A222" w14:textId="77777777" w:rsidR="007216BD" w:rsidRPr="002B1B69" w:rsidRDefault="00000000">
      <w:pPr>
        <w:rPr>
          <w:rFonts w:cs="Calibri"/>
        </w:rPr>
      </w:pPr>
      <w:r w:rsidRPr="002B1B69">
        <w:rPr>
          <w:rFonts w:cs="Calibri"/>
        </w:rPr>
        <w:t>Procurement Approval: ______________________________</w:t>
      </w:r>
    </w:p>
    <w:p w14:paraId="17B5CEF7" w14:textId="77777777" w:rsidR="007216BD" w:rsidRPr="002B1B69" w:rsidRDefault="00000000">
      <w:pPr>
        <w:rPr>
          <w:rFonts w:cs="Calibri"/>
        </w:rPr>
      </w:pPr>
      <w:r w:rsidRPr="002B1B69">
        <w:rPr>
          <w:rFonts w:cs="Calibri"/>
        </w:rPr>
        <w:t>Customer Influence Approval: ______________________________</w:t>
      </w:r>
    </w:p>
    <w:p w14:paraId="34D1A0B0" w14:textId="77777777" w:rsidR="007216BD" w:rsidRPr="002B1B69" w:rsidRDefault="00000000">
      <w:pPr>
        <w:rPr>
          <w:rFonts w:cs="Calibri"/>
        </w:rPr>
      </w:pPr>
      <w:r w:rsidRPr="002B1B69">
        <w:rPr>
          <w:rFonts w:cs="Calibri"/>
        </w:rPr>
        <w:t>Governance / Legal Review: ______________________________</w:t>
      </w:r>
    </w:p>
    <w:p w14:paraId="690E5A4D" w14:textId="77777777" w:rsidR="007216BD" w:rsidRPr="002B1B69" w:rsidRDefault="00000000">
      <w:pPr>
        <w:rPr>
          <w:rFonts w:cs="Calibri"/>
        </w:rPr>
      </w:pPr>
      <w:r w:rsidRPr="002B1B69">
        <w:rPr>
          <w:rFonts w:cs="Calibri"/>
        </w:rPr>
        <w:t>Equality Impact Review: ______________________________</w:t>
      </w:r>
    </w:p>
    <w:p w14:paraId="66AB180F" w14:textId="77777777" w:rsidR="007216BD" w:rsidRPr="002B1B69" w:rsidRDefault="00000000">
      <w:pPr>
        <w:rPr>
          <w:rFonts w:cs="Calibri"/>
        </w:rPr>
      </w:pPr>
      <w:r w:rsidRPr="002B1B69">
        <w:rPr>
          <w:rFonts w:cs="Calibri"/>
        </w:rPr>
        <w:t>Executive or Committee Sign-Off: ______________________________</w:t>
      </w:r>
    </w:p>
    <w:p w14:paraId="4CC6DA5B" w14:textId="77777777" w:rsidR="007216BD" w:rsidRPr="002B1B69" w:rsidRDefault="00000000">
      <w:pPr>
        <w:pStyle w:val="Heading1"/>
        <w:rPr>
          <w:rFonts w:ascii="Calibri" w:hAnsi="Calibri" w:cs="Calibri"/>
        </w:rPr>
      </w:pPr>
      <w:r w:rsidRPr="002B1B69">
        <w:rPr>
          <w:rFonts w:ascii="Calibri" w:hAnsi="Calibri" w:cs="Calibri"/>
        </w:rPr>
        <w:t>20. Good Practice Principles</w:t>
      </w:r>
    </w:p>
    <w:p w14:paraId="03B3A5E9" w14:textId="77777777" w:rsidR="007216BD" w:rsidRPr="002B1B69" w:rsidRDefault="00000000">
      <w:pPr>
        <w:rPr>
          <w:rFonts w:cs="Calibri"/>
        </w:rPr>
      </w:pPr>
      <w:r w:rsidRPr="002B1B69">
        <w:rPr>
          <w:rFonts w:cs="Calibri"/>
        </w:rPr>
        <w:t>All engagement activity should be based on openness, transparency, inclusion, respect, evidence-based decision-making and meaningful influence. Residents and stakeholders should understand what they can influence, how their feedback will be used and what difference their involvement has made. Procurement engagement should never be tokenistic and should demonstrate clear accountability, learning and service improvement.</w:t>
      </w:r>
    </w:p>
    <w:p w14:paraId="1DF08EBF" w14:textId="0AE57F67" w:rsidR="007216BD" w:rsidRPr="002B1B69" w:rsidRDefault="007216BD">
      <w:pPr>
        <w:rPr>
          <w:rFonts w:cs="Calibri"/>
        </w:rPr>
      </w:pPr>
    </w:p>
    <w:sectPr w:rsidR="007216BD" w:rsidRPr="002B1B6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A124" w14:textId="77777777" w:rsidR="00731DAC" w:rsidRDefault="00731DAC" w:rsidP="002B1B69">
      <w:pPr>
        <w:spacing w:after="0" w:line="240" w:lineRule="auto"/>
      </w:pPr>
      <w:r>
        <w:separator/>
      </w:r>
    </w:p>
  </w:endnote>
  <w:endnote w:type="continuationSeparator" w:id="0">
    <w:p w14:paraId="15325E96" w14:textId="77777777" w:rsidR="00731DAC" w:rsidRDefault="00731DAC" w:rsidP="002B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2B0F" w14:textId="77777777" w:rsidR="002B1B69" w:rsidRDefault="002B1B69" w:rsidP="002B1B69">
    <w:pPr>
      <w:pStyle w:val="Footer"/>
      <w:jc w:val="center"/>
      <w:rPr>
        <w:rFonts w:ascii="Segoe UI" w:hAnsi="Segoe UI" w:cs="Segoe UI"/>
        <w:color w:val="0F0F0F"/>
        <w:sz w:val="16"/>
        <w:szCs w:val="16"/>
      </w:rPr>
    </w:pPr>
    <w:r>
      <w:rPr>
        <w:noProof/>
      </w:rPr>
      <w:drawing>
        <wp:inline distT="0" distB="0" distL="0" distR="0" wp14:anchorId="5D3D7B66" wp14:editId="1AB3E1EE">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1AB2124B" w14:textId="77777777" w:rsidR="002B1B69" w:rsidRDefault="002B1B69" w:rsidP="002B1B69">
    <w:pPr>
      <w:pStyle w:val="Footer"/>
      <w:jc w:val="center"/>
      <w:rPr>
        <w:rFonts w:ascii="Segoe UI" w:hAnsi="Segoe UI" w:cs="Segoe UI"/>
        <w:color w:val="0F0F0F"/>
        <w:sz w:val="16"/>
        <w:szCs w:val="16"/>
      </w:rPr>
    </w:pPr>
  </w:p>
  <w:p w14:paraId="3794CE76" w14:textId="50A2DA5E" w:rsidR="002B1B69" w:rsidRPr="00124A6A" w:rsidRDefault="002B1B69" w:rsidP="002B1B69">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 </w:t>
    </w:r>
    <w:hyperlink r:id="rId2" w:history="1">
      <w:proofErr w:type="spellStart"/>
      <w:r w:rsidRPr="00124A6A">
        <w:rPr>
          <w:rStyle w:val="Hyperlink"/>
          <w:sz w:val="16"/>
          <w:szCs w:val="16"/>
        </w:rPr>
        <w:t>OpenThoughtsOrg</w:t>
      </w:r>
      <w:proofErr w:type="spellEnd"/>
    </w:hyperlink>
  </w:p>
  <w:p w14:paraId="4761138E" w14:textId="77777777" w:rsidR="002B1B69" w:rsidRDefault="002B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BFC0" w14:textId="77777777" w:rsidR="00731DAC" w:rsidRDefault="00731DAC" w:rsidP="002B1B69">
      <w:pPr>
        <w:spacing w:after="0" w:line="240" w:lineRule="auto"/>
      </w:pPr>
      <w:r>
        <w:separator/>
      </w:r>
    </w:p>
  </w:footnote>
  <w:footnote w:type="continuationSeparator" w:id="0">
    <w:p w14:paraId="1C0B3F19" w14:textId="77777777" w:rsidR="00731DAC" w:rsidRDefault="00731DAC" w:rsidP="002B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98E5" w14:textId="47972CC3" w:rsidR="002B1B69" w:rsidRDefault="002B1B69" w:rsidP="002B1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8732654">
    <w:abstractNumId w:val="8"/>
  </w:num>
  <w:num w:numId="2" w16cid:durableId="2133360348">
    <w:abstractNumId w:val="6"/>
  </w:num>
  <w:num w:numId="3" w16cid:durableId="641080344">
    <w:abstractNumId w:val="5"/>
  </w:num>
  <w:num w:numId="4" w16cid:durableId="795954994">
    <w:abstractNumId w:val="4"/>
  </w:num>
  <w:num w:numId="5" w16cid:durableId="1185170355">
    <w:abstractNumId w:val="7"/>
  </w:num>
  <w:num w:numId="6" w16cid:durableId="1264145111">
    <w:abstractNumId w:val="3"/>
  </w:num>
  <w:num w:numId="7" w16cid:durableId="895245232">
    <w:abstractNumId w:val="2"/>
  </w:num>
  <w:num w:numId="8" w16cid:durableId="1863663289">
    <w:abstractNumId w:val="1"/>
  </w:num>
  <w:num w:numId="9" w16cid:durableId="146954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1B69"/>
    <w:rsid w:val="00326F90"/>
    <w:rsid w:val="003A090F"/>
    <w:rsid w:val="007216BD"/>
    <w:rsid w:val="00731DA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A6B2A"/>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1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838</Words>
  <Characters>4829</Characters>
  <Application>Microsoft Office Word</Application>
  <DocSecurity>0</DocSecurity>
  <Lines>439</Lines>
  <Paragraphs>377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2026-05-09T09:25:00Z</dcterms:modified>
  <cp:category/>
</cp:coreProperties>
</file>